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4BBFF" w14:textId="77777777" w:rsidR="00333682" w:rsidRDefault="00333682" w:rsidP="00333682">
      <w:pPr>
        <w:autoSpaceDE w:val="0"/>
        <w:autoSpaceDN w:val="0"/>
        <w:adjustRightInd w:val="0"/>
        <w:spacing w:after="0" w:line="240" w:lineRule="auto"/>
        <w:jc w:val="center"/>
        <w:rPr>
          <w:rFonts w:ascii="Times New Roman" w:hAnsi="Times New Roman"/>
          <w:b/>
          <w:sz w:val="28"/>
          <w:szCs w:val="28"/>
          <w:lang w:eastAsia="en-GB"/>
        </w:rPr>
      </w:pPr>
      <w:bookmarkStart w:id="0" w:name="_GoBack"/>
      <w:bookmarkEnd w:id="0"/>
    </w:p>
    <w:p w14:paraId="0A0D076D" w14:textId="77777777" w:rsidR="00333682" w:rsidRDefault="00333682" w:rsidP="00333682">
      <w:pPr>
        <w:autoSpaceDE w:val="0"/>
        <w:autoSpaceDN w:val="0"/>
        <w:adjustRightInd w:val="0"/>
        <w:spacing w:after="0" w:line="240" w:lineRule="auto"/>
        <w:jc w:val="center"/>
        <w:rPr>
          <w:rFonts w:ascii="Times New Roman" w:hAnsi="Times New Roman"/>
          <w:b/>
          <w:sz w:val="28"/>
          <w:szCs w:val="28"/>
          <w:lang w:eastAsia="en-GB"/>
        </w:rPr>
      </w:pPr>
    </w:p>
    <w:p w14:paraId="30E2864A" w14:textId="77777777" w:rsidR="00333682" w:rsidRDefault="00333682" w:rsidP="00333682">
      <w:pPr>
        <w:autoSpaceDE w:val="0"/>
        <w:autoSpaceDN w:val="0"/>
        <w:adjustRightInd w:val="0"/>
        <w:spacing w:after="0" w:line="240" w:lineRule="auto"/>
        <w:jc w:val="center"/>
        <w:rPr>
          <w:rFonts w:ascii="Times New Roman" w:hAnsi="Times New Roman"/>
          <w:b/>
          <w:sz w:val="28"/>
          <w:szCs w:val="28"/>
          <w:lang w:eastAsia="en-GB"/>
        </w:rPr>
      </w:pPr>
    </w:p>
    <w:p w14:paraId="7D46865E" w14:textId="77777777" w:rsidR="00333682" w:rsidRPr="001F34DC" w:rsidRDefault="00333682" w:rsidP="00333682">
      <w:pPr>
        <w:autoSpaceDE w:val="0"/>
        <w:autoSpaceDN w:val="0"/>
        <w:adjustRightInd w:val="0"/>
        <w:spacing w:after="0" w:line="240" w:lineRule="auto"/>
        <w:jc w:val="center"/>
        <w:rPr>
          <w:rFonts w:ascii="Times New Roman" w:hAnsi="Times New Roman"/>
          <w:b/>
          <w:sz w:val="28"/>
          <w:szCs w:val="28"/>
          <w:lang w:eastAsia="en-GB"/>
        </w:rPr>
      </w:pPr>
      <w:r w:rsidRPr="001F34DC">
        <w:rPr>
          <w:rFonts w:ascii="Times New Roman" w:hAnsi="Times New Roman"/>
          <w:b/>
          <w:sz w:val="28"/>
          <w:szCs w:val="28"/>
          <w:lang w:eastAsia="en-GB"/>
        </w:rPr>
        <w:t xml:space="preserve">OPĆINA </w:t>
      </w:r>
      <w:r>
        <w:rPr>
          <w:rFonts w:ascii="Times New Roman" w:hAnsi="Times New Roman"/>
          <w:b/>
          <w:sz w:val="28"/>
          <w:szCs w:val="28"/>
          <w:lang w:eastAsia="en-GB"/>
        </w:rPr>
        <w:t>OPRTALJ</w:t>
      </w:r>
    </w:p>
    <w:p w14:paraId="159DBAEA" w14:textId="77777777" w:rsidR="00333682" w:rsidRPr="001F34DC" w:rsidRDefault="00333682" w:rsidP="00333682">
      <w:pPr>
        <w:autoSpaceDE w:val="0"/>
        <w:autoSpaceDN w:val="0"/>
        <w:adjustRightInd w:val="0"/>
        <w:spacing w:after="0" w:line="240" w:lineRule="auto"/>
        <w:jc w:val="center"/>
        <w:rPr>
          <w:rFonts w:ascii="Times New Roman" w:hAnsi="Times New Roman"/>
          <w:b/>
          <w:sz w:val="28"/>
          <w:szCs w:val="28"/>
          <w:lang w:eastAsia="en-GB"/>
        </w:rPr>
      </w:pPr>
      <w:r>
        <w:rPr>
          <w:rFonts w:ascii="Times New Roman" w:hAnsi="Times New Roman"/>
          <w:b/>
          <w:sz w:val="28"/>
          <w:szCs w:val="28"/>
          <w:lang w:eastAsia="en-GB"/>
        </w:rPr>
        <w:t>ISTARSKA</w:t>
      </w:r>
      <w:r w:rsidRPr="001F34DC">
        <w:rPr>
          <w:rFonts w:ascii="Times New Roman" w:hAnsi="Times New Roman"/>
          <w:b/>
          <w:sz w:val="28"/>
          <w:szCs w:val="28"/>
          <w:lang w:eastAsia="en-GB"/>
        </w:rPr>
        <w:t xml:space="preserve"> ŽUPANIJA</w:t>
      </w:r>
    </w:p>
    <w:p w14:paraId="5F1852BC" w14:textId="77777777" w:rsidR="00333682" w:rsidRPr="001F34DC" w:rsidRDefault="00333682" w:rsidP="00333682">
      <w:pPr>
        <w:autoSpaceDE w:val="0"/>
        <w:autoSpaceDN w:val="0"/>
        <w:adjustRightInd w:val="0"/>
        <w:spacing w:after="0" w:line="240" w:lineRule="auto"/>
        <w:jc w:val="center"/>
        <w:rPr>
          <w:rFonts w:ascii="Times New Roman" w:hAnsi="Times New Roman"/>
          <w:b/>
          <w:sz w:val="28"/>
          <w:szCs w:val="28"/>
          <w:lang w:eastAsia="en-GB"/>
        </w:rPr>
      </w:pPr>
      <w:r w:rsidRPr="001F34DC">
        <w:rPr>
          <w:rFonts w:ascii="Times New Roman" w:hAnsi="Times New Roman"/>
          <w:b/>
          <w:sz w:val="28"/>
          <w:szCs w:val="28"/>
          <w:lang w:eastAsia="en-GB"/>
        </w:rPr>
        <w:t>OPĆINSKI NAČELNIK</w:t>
      </w:r>
    </w:p>
    <w:p w14:paraId="432AEB2F" w14:textId="77777777" w:rsidR="00333682" w:rsidRPr="001F34DC"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608D51B3" w14:textId="77777777" w:rsidR="00333682" w:rsidRPr="001F34DC"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288421E3" w14:textId="77777777" w:rsidR="00333682" w:rsidRPr="001F34DC" w:rsidRDefault="00333682" w:rsidP="00333682">
      <w:pPr>
        <w:autoSpaceDE w:val="0"/>
        <w:autoSpaceDN w:val="0"/>
        <w:adjustRightInd w:val="0"/>
        <w:spacing w:after="0" w:line="240" w:lineRule="auto"/>
        <w:rPr>
          <w:rFonts w:ascii="Times New Roman" w:hAnsi="Times New Roman"/>
          <w:b/>
          <w:i/>
          <w:sz w:val="28"/>
          <w:szCs w:val="28"/>
          <w:lang w:eastAsia="en-GB"/>
        </w:rPr>
      </w:pPr>
    </w:p>
    <w:p w14:paraId="7014BD7B" w14:textId="77777777" w:rsidR="00333682" w:rsidRPr="001F34DC" w:rsidRDefault="00333682" w:rsidP="00333682">
      <w:pPr>
        <w:autoSpaceDE w:val="0"/>
        <w:autoSpaceDN w:val="0"/>
        <w:adjustRightInd w:val="0"/>
        <w:spacing w:after="0" w:line="240" w:lineRule="auto"/>
        <w:rPr>
          <w:rFonts w:ascii="Times New Roman" w:hAnsi="Times New Roman"/>
          <w:b/>
          <w:i/>
          <w:sz w:val="28"/>
          <w:szCs w:val="28"/>
          <w:lang w:eastAsia="en-GB"/>
        </w:rPr>
      </w:pPr>
    </w:p>
    <w:p w14:paraId="66B6047A" w14:textId="77777777" w:rsidR="00333682"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6FD6B2A1" w14:textId="77777777" w:rsidR="00333682"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1A8FC36D" w14:textId="77777777" w:rsidR="00333682"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1848E6AB" w14:textId="77777777" w:rsidR="00333682"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3FC5FF32" w14:textId="77777777" w:rsidR="00333682"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29DBE92C" w14:textId="77777777" w:rsidR="00333682" w:rsidRPr="001F34DC" w:rsidRDefault="00333682" w:rsidP="00333682">
      <w:pPr>
        <w:autoSpaceDE w:val="0"/>
        <w:autoSpaceDN w:val="0"/>
        <w:adjustRightInd w:val="0"/>
        <w:spacing w:after="0" w:line="240" w:lineRule="auto"/>
        <w:jc w:val="center"/>
        <w:rPr>
          <w:rFonts w:ascii="Times New Roman" w:hAnsi="Times New Roman"/>
          <w:b/>
          <w:i/>
          <w:sz w:val="28"/>
          <w:szCs w:val="28"/>
          <w:lang w:eastAsia="en-GB"/>
        </w:rPr>
      </w:pPr>
    </w:p>
    <w:p w14:paraId="748D05D0" w14:textId="77777777" w:rsidR="00333682" w:rsidRPr="001F34DC" w:rsidRDefault="00333682" w:rsidP="00333682">
      <w:pPr>
        <w:autoSpaceDE w:val="0"/>
        <w:autoSpaceDN w:val="0"/>
        <w:adjustRightInd w:val="0"/>
        <w:spacing w:after="0" w:line="240" w:lineRule="auto"/>
        <w:jc w:val="center"/>
        <w:rPr>
          <w:rFonts w:ascii="Times New Roman" w:hAnsi="Times New Roman"/>
          <w:b/>
          <w:i/>
          <w:sz w:val="48"/>
          <w:szCs w:val="48"/>
          <w:lang w:eastAsia="en-GB"/>
        </w:rPr>
      </w:pPr>
    </w:p>
    <w:p w14:paraId="6124EBAE" w14:textId="77777777" w:rsidR="00C57A3C" w:rsidRDefault="00C57A3C" w:rsidP="00333682">
      <w:pPr>
        <w:autoSpaceDE w:val="0"/>
        <w:autoSpaceDN w:val="0"/>
        <w:adjustRightInd w:val="0"/>
        <w:spacing w:after="0" w:line="240" w:lineRule="auto"/>
        <w:jc w:val="center"/>
        <w:rPr>
          <w:rFonts w:ascii="Times New Roman" w:hAnsi="Times New Roman"/>
          <w:b/>
          <w:i/>
          <w:sz w:val="48"/>
          <w:szCs w:val="48"/>
          <w:lang w:eastAsia="en-GB"/>
        </w:rPr>
      </w:pPr>
      <w:r>
        <w:rPr>
          <w:rFonts w:ascii="Times New Roman" w:hAnsi="Times New Roman"/>
          <w:b/>
          <w:i/>
          <w:sz w:val="48"/>
          <w:szCs w:val="48"/>
          <w:lang w:eastAsia="en-GB"/>
        </w:rPr>
        <w:t xml:space="preserve">POSEBNI IZVJEŠTAJI I </w:t>
      </w:r>
    </w:p>
    <w:p w14:paraId="60725A6F" w14:textId="79065545" w:rsidR="00333682" w:rsidRDefault="006951D9" w:rsidP="00333682">
      <w:pPr>
        <w:autoSpaceDE w:val="0"/>
        <w:autoSpaceDN w:val="0"/>
        <w:adjustRightInd w:val="0"/>
        <w:spacing w:after="0" w:line="240" w:lineRule="auto"/>
        <w:jc w:val="center"/>
        <w:rPr>
          <w:rFonts w:ascii="Times New Roman" w:hAnsi="Times New Roman"/>
          <w:b/>
          <w:i/>
          <w:sz w:val="48"/>
          <w:szCs w:val="48"/>
          <w:lang w:eastAsia="en-GB"/>
        </w:rPr>
      </w:pPr>
      <w:r>
        <w:rPr>
          <w:rFonts w:ascii="Times New Roman" w:hAnsi="Times New Roman"/>
          <w:b/>
          <w:i/>
          <w:sz w:val="48"/>
          <w:szCs w:val="48"/>
          <w:lang w:eastAsia="en-GB"/>
        </w:rPr>
        <w:t xml:space="preserve">OBRAZLOŽENJE </w:t>
      </w:r>
      <w:r w:rsidR="00333682">
        <w:rPr>
          <w:rFonts w:ascii="Times New Roman" w:hAnsi="Times New Roman"/>
          <w:b/>
          <w:i/>
          <w:sz w:val="48"/>
          <w:szCs w:val="48"/>
          <w:lang w:eastAsia="en-GB"/>
        </w:rPr>
        <w:t>GODIŠNJEG IZVJEŠTAJA O IZVRŠENJU</w:t>
      </w:r>
      <w:r w:rsidR="00333682" w:rsidRPr="001F34DC">
        <w:rPr>
          <w:rFonts w:ascii="Times New Roman" w:hAnsi="Times New Roman"/>
          <w:b/>
          <w:i/>
          <w:sz w:val="48"/>
          <w:szCs w:val="48"/>
          <w:lang w:eastAsia="en-GB"/>
        </w:rPr>
        <w:t xml:space="preserve"> </w:t>
      </w:r>
    </w:p>
    <w:p w14:paraId="1E044791" w14:textId="77777777" w:rsidR="00333682" w:rsidRPr="00C04153" w:rsidRDefault="00333682" w:rsidP="00333682">
      <w:pPr>
        <w:autoSpaceDE w:val="0"/>
        <w:autoSpaceDN w:val="0"/>
        <w:adjustRightInd w:val="0"/>
        <w:spacing w:after="0" w:line="240" w:lineRule="auto"/>
        <w:jc w:val="center"/>
        <w:rPr>
          <w:rFonts w:ascii="Times New Roman" w:hAnsi="Times New Roman"/>
          <w:b/>
          <w:i/>
          <w:sz w:val="48"/>
          <w:szCs w:val="48"/>
          <w:lang w:eastAsia="en-GB"/>
        </w:rPr>
      </w:pPr>
      <w:r w:rsidRPr="00C04153">
        <w:rPr>
          <w:rFonts w:ascii="Times New Roman" w:hAnsi="Times New Roman"/>
          <w:b/>
          <w:i/>
          <w:sz w:val="48"/>
          <w:szCs w:val="48"/>
          <w:lang w:eastAsia="en-GB"/>
        </w:rPr>
        <w:t xml:space="preserve">PRORAČUNA OPĆINE OPRTALJ </w:t>
      </w:r>
    </w:p>
    <w:p w14:paraId="253A4717" w14:textId="362728E4" w:rsidR="00333682" w:rsidRPr="00C04153" w:rsidRDefault="00333682" w:rsidP="00333682">
      <w:pPr>
        <w:autoSpaceDE w:val="0"/>
        <w:autoSpaceDN w:val="0"/>
        <w:adjustRightInd w:val="0"/>
        <w:spacing w:after="0" w:line="240" w:lineRule="auto"/>
        <w:jc w:val="center"/>
        <w:rPr>
          <w:rFonts w:ascii="Times New Roman" w:hAnsi="Times New Roman"/>
          <w:b/>
          <w:i/>
          <w:sz w:val="48"/>
          <w:szCs w:val="48"/>
          <w:lang w:eastAsia="en-GB"/>
        </w:rPr>
      </w:pPr>
      <w:r w:rsidRPr="00C04153">
        <w:rPr>
          <w:rFonts w:ascii="Times New Roman" w:hAnsi="Times New Roman"/>
          <w:b/>
          <w:i/>
          <w:sz w:val="48"/>
          <w:szCs w:val="48"/>
          <w:lang w:eastAsia="en-GB"/>
        </w:rPr>
        <w:t>ZA 20</w:t>
      </w:r>
      <w:r w:rsidR="008B51D2">
        <w:rPr>
          <w:rFonts w:ascii="Times New Roman" w:hAnsi="Times New Roman"/>
          <w:b/>
          <w:i/>
          <w:sz w:val="48"/>
          <w:szCs w:val="48"/>
          <w:lang w:eastAsia="en-GB"/>
        </w:rPr>
        <w:t>2</w:t>
      </w:r>
      <w:r w:rsidR="00EC22B6">
        <w:rPr>
          <w:rFonts w:ascii="Times New Roman" w:hAnsi="Times New Roman"/>
          <w:b/>
          <w:i/>
          <w:sz w:val="48"/>
          <w:szCs w:val="48"/>
          <w:lang w:eastAsia="en-GB"/>
        </w:rPr>
        <w:t>5</w:t>
      </w:r>
      <w:r w:rsidRPr="00C04153">
        <w:rPr>
          <w:rFonts w:ascii="Times New Roman" w:hAnsi="Times New Roman"/>
          <w:b/>
          <w:i/>
          <w:sz w:val="48"/>
          <w:szCs w:val="48"/>
          <w:lang w:eastAsia="en-GB"/>
        </w:rPr>
        <w:t>. GODINU</w:t>
      </w:r>
    </w:p>
    <w:p w14:paraId="47C606C9"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12FF2729"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618E1713"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2318232C"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700A1EB5"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4F48E9C8"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3B3D8A61"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42F27438"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6A615F09"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3487BC2E"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564AF75E"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1500B601"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57530A92"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27C96473" w14:textId="77777777" w:rsidR="00333682"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741F4858" w14:textId="77777777" w:rsidR="00333682"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6F275D7D" w14:textId="77777777" w:rsidR="00333682" w:rsidRPr="001F34DC" w:rsidRDefault="00333682" w:rsidP="00333682">
      <w:pPr>
        <w:autoSpaceDE w:val="0"/>
        <w:autoSpaceDN w:val="0"/>
        <w:adjustRightInd w:val="0"/>
        <w:spacing w:after="0" w:line="240" w:lineRule="auto"/>
        <w:jc w:val="both"/>
        <w:rPr>
          <w:rFonts w:ascii="Times New Roman" w:hAnsi="Times New Roman"/>
          <w:b/>
          <w:sz w:val="28"/>
          <w:szCs w:val="28"/>
          <w:lang w:eastAsia="en-GB"/>
        </w:rPr>
      </w:pPr>
    </w:p>
    <w:p w14:paraId="543A789F" w14:textId="63CEE0CB" w:rsidR="00333682" w:rsidRPr="00797197" w:rsidRDefault="00EC22B6" w:rsidP="00797197">
      <w:pPr>
        <w:autoSpaceDE w:val="0"/>
        <w:autoSpaceDN w:val="0"/>
        <w:adjustRightInd w:val="0"/>
        <w:spacing w:after="0" w:line="240" w:lineRule="auto"/>
        <w:jc w:val="center"/>
        <w:rPr>
          <w:rFonts w:ascii="Times New Roman" w:hAnsi="Times New Roman"/>
          <w:b/>
          <w:sz w:val="24"/>
          <w:szCs w:val="24"/>
          <w:lang w:eastAsia="en-GB"/>
        </w:rPr>
      </w:pPr>
      <w:r>
        <w:rPr>
          <w:rFonts w:ascii="Times New Roman" w:hAnsi="Times New Roman"/>
          <w:b/>
          <w:sz w:val="24"/>
          <w:szCs w:val="24"/>
          <w:lang w:eastAsia="en-GB"/>
        </w:rPr>
        <w:t>Svibanj, 2026</w:t>
      </w:r>
      <w:r w:rsidR="00333682" w:rsidRPr="00C57A3C">
        <w:rPr>
          <w:rFonts w:ascii="Times New Roman" w:hAnsi="Times New Roman"/>
          <w:b/>
          <w:sz w:val="24"/>
          <w:szCs w:val="24"/>
          <w:lang w:eastAsia="en-GB"/>
        </w:rPr>
        <w:t>. godina</w:t>
      </w:r>
    </w:p>
    <w:p w14:paraId="62326179" w14:textId="77777777" w:rsidR="00333682" w:rsidRPr="0018012A" w:rsidRDefault="00333682" w:rsidP="00333682">
      <w:pPr>
        <w:spacing w:after="0" w:line="240" w:lineRule="auto"/>
        <w:jc w:val="center"/>
        <w:rPr>
          <w:rFonts w:ascii="Times New Roman" w:hAnsi="Times New Roman"/>
          <w:b/>
          <w:bCs/>
          <w:i/>
          <w:sz w:val="24"/>
          <w:szCs w:val="24"/>
        </w:rPr>
      </w:pPr>
    </w:p>
    <w:p w14:paraId="41D24682" w14:textId="77777777" w:rsidR="00333682" w:rsidRPr="007158C0" w:rsidRDefault="00333682" w:rsidP="00333682">
      <w:pPr>
        <w:shd w:val="clear" w:color="auto" w:fill="C6D9F1" w:themeFill="text2" w:themeFillTint="33"/>
        <w:autoSpaceDE w:val="0"/>
        <w:autoSpaceDN w:val="0"/>
        <w:adjustRightInd w:val="0"/>
        <w:jc w:val="both"/>
        <w:rPr>
          <w:rFonts w:ascii="Times New Roman" w:hAnsi="Times New Roman"/>
          <w:b/>
          <w:i/>
          <w:sz w:val="24"/>
          <w:szCs w:val="24"/>
          <w:lang w:eastAsia="en-GB"/>
        </w:rPr>
      </w:pPr>
      <w:r w:rsidRPr="0018012A">
        <w:rPr>
          <w:rFonts w:ascii="Times New Roman" w:hAnsi="Times New Roman"/>
          <w:b/>
          <w:i/>
          <w:sz w:val="24"/>
          <w:szCs w:val="24"/>
          <w:lang w:eastAsia="en-GB"/>
        </w:rPr>
        <w:t>SADRŽAJ:</w:t>
      </w:r>
    </w:p>
    <w:p w14:paraId="28CE66B4" w14:textId="77777777" w:rsidR="00FF38ED" w:rsidRDefault="00FF38ED" w:rsidP="00FF38ED">
      <w:pPr>
        <w:pStyle w:val="ListParagraph"/>
        <w:numPr>
          <w:ilvl w:val="0"/>
          <w:numId w:val="10"/>
        </w:numPr>
        <w:autoSpaceDE w:val="0"/>
        <w:autoSpaceDN w:val="0"/>
        <w:adjustRightInd w:val="0"/>
        <w:spacing w:after="0" w:line="360" w:lineRule="auto"/>
        <w:ind w:left="714" w:hanging="357"/>
        <w:jc w:val="both"/>
        <w:rPr>
          <w:rFonts w:ascii="Times New Roman" w:hAnsi="Times New Roman"/>
          <w:b/>
          <w:bCs/>
          <w:sz w:val="20"/>
          <w:szCs w:val="20"/>
          <w:lang w:eastAsia="en-GB"/>
        </w:rPr>
      </w:pPr>
      <w:r w:rsidRPr="00B018D5">
        <w:rPr>
          <w:rFonts w:ascii="Times New Roman" w:hAnsi="Times New Roman"/>
          <w:b/>
          <w:bCs/>
          <w:sz w:val="20"/>
          <w:szCs w:val="20"/>
          <w:lang w:eastAsia="en-GB"/>
        </w:rPr>
        <w:t>ZAKONSKA OBVEZA</w:t>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r>
      <w:r w:rsidRPr="00B018D5">
        <w:rPr>
          <w:rFonts w:ascii="Times New Roman" w:hAnsi="Times New Roman"/>
          <w:b/>
          <w:bCs/>
          <w:sz w:val="20"/>
          <w:szCs w:val="20"/>
          <w:lang w:eastAsia="en-GB"/>
        </w:rPr>
        <w:tab/>
        <w:t xml:space="preserve">  3</w:t>
      </w:r>
    </w:p>
    <w:p w14:paraId="1146C2D0" w14:textId="77777777" w:rsidR="00FF38ED" w:rsidRPr="00B018D5" w:rsidRDefault="00FF38ED" w:rsidP="00FF38ED">
      <w:pPr>
        <w:pStyle w:val="ListParagraph"/>
        <w:autoSpaceDE w:val="0"/>
        <w:autoSpaceDN w:val="0"/>
        <w:adjustRightInd w:val="0"/>
        <w:spacing w:after="0" w:line="360" w:lineRule="auto"/>
        <w:ind w:left="714"/>
        <w:jc w:val="both"/>
        <w:rPr>
          <w:rFonts w:ascii="Times New Roman" w:hAnsi="Times New Roman"/>
          <w:b/>
          <w:bCs/>
          <w:sz w:val="20"/>
          <w:szCs w:val="20"/>
          <w:lang w:eastAsia="en-GB"/>
        </w:rPr>
      </w:pPr>
    </w:p>
    <w:p w14:paraId="62AC5A9C" w14:textId="27A6CFC5" w:rsidR="00FF38ED" w:rsidRPr="00B018D5" w:rsidRDefault="00FF38ED" w:rsidP="00FF38ED">
      <w:pPr>
        <w:pStyle w:val="ListParagraph"/>
        <w:numPr>
          <w:ilvl w:val="0"/>
          <w:numId w:val="10"/>
        </w:numPr>
        <w:autoSpaceDE w:val="0"/>
        <w:autoSpaceDN w:val="0"/>
        <w:adjustRightInd w:val="0"/>
        <w:spacing w:after="0" w:line="360" w:lineRule="auto"/>
        <w:ind w:left="714" w:hanging="357"/>
        <w:jc w:val="both"/>
        <w:rPr>
          <w:rFonts w:ascii="Times New Roman" w:hAnsi="Times New Roman"/>
          <w:b/>
          <w:bCs/>
          <w:sz w:val="20"/>
          <w:szCs w:val="20"/>
          <w:lang w:eastAsia="en-GB"/>
        </w:rPr>
      </w:pPr>
      <w:r w:rsidRPr="00B018D5">
        <w:rPr>
          <w:rFonts w:ascii="Times New Roman" w:hAnsi="Times New Roman"/>
          <w:b/>
          <w:bCs/>
          <w:sz w:val="20"/>
          <w:szCs w:val="20"/>
          <w:lang w:eastAsia="en-GB"/>
        </w:rPr>
        <w:t>OBRAZLOŽENJE GODIŠNJEG IZVJEŠTAJA O IZVRŠENJU PRORAČUNA</w:t>
      </w:r>
      <w:r w:rsidRPr="00B018D5">
        <w:rPr>
          <w:rFonts w:ascii="Times New Roman" w:hAnsi="Times New Roman"/>
          <w:b/>
          <w:bCs/>
          <w:sz w:val="20"/>
          <w:szCs w:val="20"/>
          <w:lang w:eastAsia="en-GB"/>
        </w:rPr>
        <w:tab/>
      </w:r>
      <w:r>
        <w:rPr>
          <w:rFonts w:ascii="Times New Roman" w:hAnsi="Times New Roman"/>
          <w:b/>
          <w:bCs/>
          <w:sz w:val="20"/>
          <w:szCs w:val="20"/>
          <w:lang w:eastAsia="en-GB"/>
        </w:rPr>
        <w:t xml:space="preserve">  </w:t>
      </w:r>
      <w:r w:rsidR="006C5FC1">
        <w:rPr>
          <w:rFonts w:ascii="Times New Roman" w:hAnsi="Times New Roman"/>
          <w:b/>
          <w:bCs/>
          <w:sz w:val="20"/>
          <w:szCs w:val="20"/>
          <w:lang w:eastAsia="en-GB"/>
        </w:rPr>
        <w:t xml:space="preserve">              </w:t>
      </w:r>
      <w:r>
        <w:rPr>
          <w:rFonts w:ascii="Times New Roman" w:hAnsi="Times New Roman"/>
          <w:b/>
          <w:bCs/>
          <w:sz w:val="20"/>
          <w:szCs w:val="20"/>
          <w:lang w:eastAsia="en-GB"/>
        </w:rPr>
        <w:t>4</w:t>
      </w:r>
    </w:p>
    <w:p w14:paraId="091D0398" w14:textId="77777777" w:rsidR="00FF38ED" w:rsidRPr="006D469E" w:rsidRDefault="00FF38ED" w:rsidP="00FF38ED">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Obrazloženje općeg dijela izvještaja o izvršenju proračuna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Pr>
          <w:rFonts w:ascii="Times New Roman" w:hAnsi="Times New Roman"/>
          <w:sz w:val="20"/>
          <w:szCs w:val="20"/>
          <w:lang w:eastAsia="en-GB"/>
        </w:rPr>
        <w:t xml:space="preserve">  4</w:t>
      </w:r>
    </w:p>
    <w:p w14:paraId="391F876E" w14:textId="77777777" w:rsidR="00FF38ED" w:rsidRPr="006D469E" w:rsidRDefault="00FF38ED" w:rsidP="00FF38ED">
      <w:pPr>
        <w:pStyle w:val="ListParagraph"/>
        <w:numPr>
          <w:ilvl w:val="2"/>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Obrazloženje ostvarenja prihoda i primitaka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Pr>
          <w:rFonts w:ascii="Times New Roman" w:hAnsi="Times New Roman"/>
          <w:sz w:val="20"/>
          <w:szCs w:val="20"/>
          <w:lang w:eastAsia="en-GB"/>
        </w:rPr>
        <w:t xml:space="preserve">  4</w:t>
      </w:r>
    </w:p>
    <w:p w14:paraId="099B5D0F" w14:textId="71AE50DF" w:rsidR="00FF38ED" w:rsidRDefault="00FF38ED" w:rsidP="00FF38ED">
      <w:pPr>
        <w:pStyle w:val="ListParagraph"/>
        <w:numPr>
          <w:ilvl w:val="2"/>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Obrazloženje ostvarenja rashoda i izdataka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t>1</w:t>
      </w:r>
      <w:r w:rsidR="00217246">
        <w:rPr>
          <w:rFonts w:ascii="Times New Roman" w:hAnsi="Times New Roman"/>
          <w:sz w:val="20"/>
          <w:szCs w:val="20"/>
          <w:lang w:eastAsia="en-GB"/>
        </w:rPr>
        <w:t>2</w:t>
      </w:r>
    </w:p>
    <w:p w14:paraId="284DB09D" w14:textId="1CD2B409" w:rsidR="00FF38ED" w:rsidRDefault="004E3D0D" w:rsidP="00FF38ED">
      <w:pPr>
        <w:pStyle w:val="ListParagraph"/>
        <w:numPr>
          <w:ilvl w:val="2"/>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 xml:space="preserve">Prikaz ostvarenog </w:t>
      </w:r>
      <w:r w:rsidR="00FF38ED" w:rsidRPr="006D469E">
        <w:rPr>
          <w:rFonts w:ascii="Times New Roman" w:hAnsi="Times New Roman"/>
          <w:sz w:val="20"/>
          <w:szCs w:val="20"/>
          <w:lang w:eastAsia="en-GB"/>
        </w:rPr>
        <w:t>viška</w:t>
      </w:r>
      <w:r w:rsidR="00FF38ED" w:rsidRPr="006D469E">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t>17</w:t>
      </w:r>
    </w:p>
    <w:p w14:paraId="477D384C" w14:textId="58DBBC02" w:rsidR="00FF38ED" w:rsidRDefault="00FF38ED" w:rsidP="00FF38ED">
      <w:pPr>
        <w:pStyle w:val="ListParagraph"/>
        <w:numPr>
          <w:ilvl w:val="2"/>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St</w:t>
      </w:r>
      <w:r w:rsidR="004E3D0D">
        <w:rPr>
          <w:rFonts w:ascii="Times New Roman" w:hAnsi="Times New Roman"/>
          <w:sz w:val="20"/>
          <w:szCs w:val="20"/>
          <w:lang w:eastAsia="en-GB"/>
        </w:rPr>
        <w:t>anje novčanih sredstava</w:t>
      </w:r>
      <w:r w:rsidR="004E3D0D">
        <w:rPr>
          <w:rFonts w:ascii="Times New Roman" w:hAnsi="Times New Roman"/>
          <w:sz w:val="20"/>
          <w:szCs w:val="20"/>
          <w:lang w:eastAsia="en-GB"/>
        </w:rPr>
        <w:tab/>
      </w:r>
      <w:r w:rsidR="004E3D0D">
        <w:rPr>
          <w:rFonts w:ascii="Times New Roman" w:hAnsi="Times New Roman"/>
          <w:sz w:val="20"/>
          <w:szCs w:val="20"/>
          <w:lang w:eastAsia="en-GB"/>
        </w:rPr>
        <w:tab/>
      </w:r>
      <w:r w:rsidR="004E3D0D">
        <w:rPr>
          <w:rFonts w:ascii="Times New Roman" w:hAnsi="Times New Roman"/>
          <w:sz w:val="20"/>
          <w:szCs w:val="20"/>
          <w:lang w:eastAsia="en-GB"/>
        </w:rPr>
        <w:tab/>
      </w:r>
      <w:r w:rsidR="004E3D0D">
        <w:rPr>
          <w:rFonts w:ascii="Times New Roman" w:hAnsi="Times New Roman"/>
          <w:sz w:val="20"/>
          <w:szCs w:val="20"/>
          <w:lang w:eastAsia="en-GB"/>
        </w:rPr>
        <w:tab/>
      </w:r>
      <w:r w:rsidR="004E3D0D">
        <w:rPr>
          <w:rFonts w:ascii="Times New Roman" w:hAnsi="Times New Roman"/>
          <w:sz w:val="20"/>
          <w:szCs w:val="20"/>
          <w:lang w:eastAsia="en-GB"/>
        </w:rPr>
        <w:tab/>
      </w:r>
      <w:r w:rsidR="004E3D0D">
        <w:rPr>
          <w:rFonts w:ascii="Times New Roman" w:hAnsi="Times New Roman"/>
          <w:sz w:val="20"/>
          <w:szCs w:val="20"/>
          <w:lang w:eastAsia="en-GB"/>
        </w:rPr>
        <w:tab/>
      </w:r>
      <w:r w:rsidR="004E3D0D">
        <w:rPr>
          <w:rFonts w:ascii="Times New Roman" w:hAnsi="Times New Roman"/>
          <w:sz w:val="20"/>
          <w:szCs w:val="20"/>
          <w:lang w:eastAsia="en-GB"/>
        </w:rPr>
        <w:tab/>
        <w:t>18</w:t>
      </w:r>
    </w:p>
    <w:p w14:paraId="29E59D78" w14:textId="77777777" w:rsidR="00FF38ED" w:rsidRDefault="00FF38ED" w:rsidP="00FF38ED">
      <w:pPr>
        <w:pStyle w:val="ListParagraph"/>
        <w:numPr>
          <w:ilvl w:val="2"/>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 xml:space="preserve">Prihodi i primici, te rashodi i izdaci ostvareni preuzimanjem nefinancijske </w:t>
      </w:r>
    </w:p>
    <w:p w14:paraId="68D6C09C" w14:textId="45FD3A92" w:rsidR="00FF38ED" w:rsidRPr="008A4A5B" w:rsidRDefault="00FF38ED" w:rsidP="00FF38ED">
      <w:pPr>
        <w:pStyle w:val="ListParagraph"/>
        <w:autoSpaceDE w:val="0"/>
        <w:autoSpaceDN w:val="0"/>
        <w:adjustRightInd w:val="0"/>
        <w:spacing w:after="0" w:line="360" w:lineRule="auto"/>
        <w:ind w:left="1788"/>
        <w:jc w:val="both"/>
        <w:rPr>
          <w:rFonts w:ascii="Times New Roman" w:hAnsi="Times New Roman"/>
          <w:sz w:val="20"/>
          <w:szCs w:val="20"/>
          <w:lang w:eastAsia="en-GB"/>
        </w:rPr>
      </w:pPr>
      <w:r>
        <w:rPr>
          <w:rFonts w:ascii="Times New Roman" w:hAnsi="Times New Roman"/>
          <w:sz w:val="20"/>
          <w:szCs w:val="20"/>
          <w:lang w:eastAsia="en-GB"/>
        </w:rPr>
        <w:t>i financijske imovine u naplati potraživanja javnih davanja</w:t>
      </w:r>
      <w:r w:rsidRPr="008A4A5B">
        <w:rPr>
          <w:rFonts w:ascii="Times New Roman" w:hAnsi="Times New Roman"/>
          <w:sz w:val="20"/>
          <w:szCs w:val="20"/>
          <w:lang w:eastAsia="en-GB"/>
        </w:rPr>
        <w:tab/>
      </w:r>
      <w:r w:rsidRPr="008A4A5B">
        <w:rPr>
          <w:rFonts w:ascii="Times New Roman" w:hAnsi="Times New Roman"/>
          <w:sz w:val="20"/>
          <w:szCs w:val="20"/>
          <w:lang w:eastAsia="en-GB"/>
        </w:rPr>
        <w:tab/>
      </w:r>
      <w:r w:rsidRPr="008A4A5B">
        <w:rPr>
          <w:rFonts w:ascii="Times New Roman" w:hAnsi="Times New Roman"/>
          <w:sz w:val="20"/>
          <w:szCs w:val="20"/>
          <w:lang w:eastAsia="en-GB"/>
        </w:rPr>
        <w:tab/>
      </w:r>
      <w:r>
        <w:rPr>
          <w:rFonts w:ascii="Times New Roman" w:hAnsi="Times New Roman"/>
          <w:sz w:val="20"/>
          <w:szCs w:val="20"/>
          <w:lang w:eastAsia="en-GB"/>
        </w:rPr>
        <w:t>1</w:t>
      </w:r>
      <w:r w:rsidR="004E3D0D">
        <w:rPr>
          <w:rFonts w:ascii="Times New Roman" w:hAnsi="Times New Roman"/>
          <w:sz w:val="20"/>
          <w:szCs w:val="20"/>
          <w:lang w:eastAsia="en-GB"/>
        </w:rPr>
        <w:t>8</w:t>
      </w:r>
    </w:p>
    <w:p w14:paraId="11A80D79" w14:textId="69D0ACDD" w:rsidR="00FF38ED" w:rsidRDefault="00FF38ED" w:rsidP="00FF38ED">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Obrazloženje posebnog dijela izvještaja o izvršenju proračuna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004E3D0D">
        <w:rPr>
          <w:rFonts w:ascii="Times New Roman" w:hAnsi="Times New Roman"/>
          <w:sz w:val="20"/>
          <w:szCs w:val="20"/>
          <w:lang w:eastAsia="en-GB"/>
        </w:rPr>
        <w:t>19</w:t>
      </w:r>
    </w:p>
    <w:p w14:paraId="7719848A" w14:textId="77777777" w:rsidR="00FF38ED" w:rsidRPr="006D469E" w:rsidRDefault="00FF38ED" w:rsidP="00FF38ED">
      <w:pPr>
        <w:pStyle w:val="ListParagraph"/>
        <w:autoSpaceDE w:val="0"/>
        <w:autoSpaceDN w:val="0"/>
        <w:adjustRightInd w:val="0"/>
        <w:spacing w:after="0" w:line="360" w:lineRule="auto"/>
        <w:ind w:left="1074"/>
        <w:jc w:val="both"/>
        <w:rPr>
          <w:rFonts w:ascii="Times New Roman" w:hAnsi="Times New Roman"/>
          <w:sz w:val="20"/>
          <w:szCs w:val="20"/>
          <w:lang w:eastAsia="en-GB"/>
        </w:rPr>
      </w:pPr>
    </w:p>
    <w:p w14:paraId="28FE9B12" w14:textId="5708510A" w:rsidR="00FF38ED" w:rsidRPr="00B018D5" w:rsidRDefault="00FF38ED" w:rsidP="00FF38ED">
      <w:pPr>
        <w:pStyle w:val="ListParagraph"/>
        <w:numPr>
          <w:ilvl w:val="0"/>
          <w:numId w:val="10"/>
        </w:numPr>
        <w:autoSpaceDE w:val="0"/>
        <w:autoSpaceDN w:val="0"/>
        <w:adjustRightInd w:val="0"/>
        <w:spacing w:after="0" w:line="360" w:lineRule="auto"/>
        <w:ind w:left="714" w:hanging="357"/>
        <w:jc w:val="both"/>
        <w:rPr>
          <w:rFonts w:ascii="Times New Roman" w:hAnsi="Times New Roman"/>
          <w:b/>
          <w:bCs/>
          <w:sz w:val="20"/>
          <w:szCs w:val="20"/>
          <w:lang w:eastAsia="en-GB"/>
        </w:rPr>
      </w:pPr>
      <w:r w:rsidRPr="00B018D5">
        <w:rPr>
          <w:rFonts w:ascii="Times New Roman" w:hAnsi="Times New Roman"/>
          <w:b/>
          <w:bCs/>
          <w:sz w:val="20"/>
          <w:szCs w:val="20"/>
          <w:lang w:eastAsia="en-GB"/>
        </w:rPr>
        <w:t>POSEBNI IZVJEŠTAJI U</w:t>
      </w:r>
      <w:r w:rsidR="001C605E">
        <w:rPr>
          <w:rFonts w:ascii="Times New Roman" w:hAnsi="Times New Roman"/>
          <w:b/>
          <w:bCs/>
          <w:sz w:val="20"/>
          <w:szCs w:val="20"/>
          <w:lang w:eastAsia="en-GB"/>
        </w:rPr>
        <w:t xml:space="preserve"> </w:t>
      </w:r>
      <w:r w:rsidRPr="00B018D5">
        <w:rPr>
          <w:rFonts w:ascii="Times New Roman" w:hAnsi="Times New Roman"/>
          <w:b/>
          <w:bCs/>
          <w:sz w:val="20"/>
          <w:szCs w:val="20"/>
          <w:lang w:eastAsia="en-GB"/>
        </w:rPr>
        <w:t>GODIŠNJEM IZVJEŠTAJU O IZVRŠENJU</w:t>
      </w:r>
      <w:r w:rsidR="00E56627">
        <w:rPr>
          <w:rFonts w:ascii="Times New Roman" w:hAnsi="Times New Roman"/>
          <w:b/>
          <w:bCs/>
          <w:sz w:val="20"/>
          <w:szCs w:val="20"/>
          <w:lang w:eastAsia="en-GB"/>
        </w:rPr>
        <w:t xml:space="preserve"> </w:t>
      </w:r>
      <w:r w:rsidR="00E56627">
        <w:rPr>
          <w:rFonts w:ascii="Times New Roman" w:hAnsi="Times New Roman"/>
          <w:b/>
          <w:bCs/>
          <w:sz w:val="20"/>
          <w:szCs w:val="20"/>
          <w:lang w:eastAsia="en-GB"/>
        </w:rPr>
        <w:tab/>
        <w:t xml:space="preserve">   </w:t>
      </w:r>
      <w:r w:rsidR="001C605E">
        <w:rPr>
          <w:rFonts w:ascii="Times New Roman" w:hAnsi="Times New Roman"/>
          <w:b/>
          <w:bCs/>
          <w:sz w:val="20"/>
          <w:szCs w:val="20"/>
          <w:lang w:eastAsia="en-GB"/>
        </w:rPr>
        <w:t xml:space="preserve">             </w:t>
      </w:r>
      <w:r w:rsidR="00E56627">
        <w:rPr>
          <w:rFonts w:ascii="Times New Roman" w:hAnsi="Times New Roman"/>
          <w:b/>
          <w:bCs/>
          <w:sz w:val="20"/>
          <w:szCs w:val="20"/>
          <w:lang w:eastAsia="en-GB"/>
        </w:rPr>
        <w:t xml:space="preserve">      </w:t>
      </w:r>
      <w:r>
        <w:rPr>
          <w:rFonts w:ascii="Times New Roman" w:hAnsi="Times New Roman"/>
          <w:b/>
          <w:bCs/>
          <w:sz w:val="20"/>
          <w:szCs w:val="20"/>
          <w:lang w:eastAsia="en-GB"/>
        </w:rPr>
        <w:t xml:space="preserve">     </w:t>
      </w:r>
      <w:r w:rsidR="008E28E9">
        <w:rPr>
          <w:rFonts w:ascii="Times New Roman" w:hAnsi="Times New Roman"/>
          <w:b/>
          <w:bCs/>
          <w:sz w:val="20"/>
          <w:szCs w:val="20"/>
          <w:lang w:eastAsia="en-GB"/>
        </w:rPr>
        <w:t>35</w:t>
      </w:r>
    </w:p>
    <w:p w14:paraId="4CC2B5B1" w14:textId="683CBE76" w:rsidR="00AA59C5" w:rsidRPr="006D469E"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Izvještaj o korištenju proračunske zalihe</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008E28E9">
        <w:rPr>
          <w:rFonts w:ascii="Times New Roman" w:hAnsi="Times New Roman"/>
          <w:sz w:val="20"/>
          <w:szCs w:val="20"/>
          <w:lang w:eastAsia="en-GB"/>
        </w:rPr>
        <w:t>35</w:t>
      </w:r>
    </w:p>
    <w:p w14:paraId="64C12170" w14:textId="7E86FAA0" w:rsidR="00AA59C5" w:rsidRPr="006D469E"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Izvještaj o zaduživanju na domaćem i stranom tržištu novca i kapitala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008E28E9">
        <w:rPr>
          <w:rFonts w:ascii="Times New Roman" w:hAnsi="Times New Roman"/>
          <w:sz w:val="20"/>
          <w:szCs w:val="20"/>
          <w:lang w:eastAsia="en-GB"/>
        </w:rPr>
        <w:t>35</w:t>
      </w:r>
    </w:p>
    <w:p w14:paraId="602CB33B" w14:textId="4DFB4438" w:rsidR="00AA59C5"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sidRPr="006D469E">
        <w:rPr>
          <w:rFonts w:ascii="Times New Roman" w:hAnsi="Times New Roman"/>
          <w:sz w:val="20"/>
          <w:szCs w:val="20"/>
          <w:lang w:eastAsia="en-GB"/>
        </w:rPr>
        <w:t>Izvještaj o danim jamstvima i plaćanjima po protestiranim jamstvima</w:t>
      </w:r>
      <w:r w:rsidRPr="006D469E">
        <w:rPr>
          <w:rFonts w:ascii="Times New Roman" w:hAnsi="Times New Roman"/>
          <w:sz w:val="20"/>
          <w:szCs w:val="20"/>
          <w:lang w:eastAsia="en-GB"/>
        </w:rPr>
        <w:tab/>
      </w:r>
      <w:r w:rsidRPr="006D469E">
        <w:rPr>
          <w:rFonts w:ascii="Times New Roman" w:hAnsi="Times New Roman"/>
          <w:sz w:val="20"/>
          <w:szCs w:val="20"/>
          <w:lang w:eastAsia="en-GB"/>
        </w:rPr>
        <w:tab/>
      </w:r>
      <w:r w:rsidRPr="006D469E">
        <w:rPr>
          <w:rFonts w:ascii="Times New Roman" w:hAnsi="Times New Roman"/>
          <w:sz w:val="20"/>
          <w:szCs w:val="20"/>
          <w:lang w:eastAsia="en-GB"/>
        </w:rPr>
        <w:tab/>
      </w:r>
      <w:r>
        <w:rPr>
          <w:rFonts w:ascii="Times New Roman" w:hAnsi="Times New Roman"/>
          <w:sz w:val="20"/>
          <w:szCs w:val="20"/>
          <w:lang w:eastAsia="en-GB"/>
        </w:rPr>
        <w:t>3</w:t>
      </w:r>
      <w:r w:rsidR="008E28E9">
        <w:rPr>
          <w:rFonts w:ascii="Times New Roman" w:hAnsi="Times New Roman"/>
          <w:sz w:val="20"/>
          <w:szCs w:val="20"/>
          <w:lang w:eastAsia="en-GB"/>
        </w:rPr>
        <w:t>9</w:t>
      </w:r>
    </w:p>
    <w:p w14:paraId="2DE4CDB4" w14:textId="57B3850F" w:rsidR="00AA59C5"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Izvještaj o korištenju sredstava fondova Europske unije</w:t>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t>3</w:t>
      </w:r>
      <w:r w:rsidR="008E28E9">
        <w:rPr>
          <w:rFonts w:ascii="Times New Roman" w:hAnsi="Times New Roman"/>
          <w:sz w:val="20"/>
          <w:szCs w:val="20"/>
          <w:lang w:eastAsia="en-GB"/>
        </w:rPr>
        <w:t>9</w:t>
      </w:r>
    </w:p>
    <w:p w14:paraId="3DB4421D" w14:textId="791F6B7F" w:rsidR="00AA59C5"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Izvještaj o danim zajmovima i potraživanja po danim zajmovima</w:t>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r>
      <w:r>
        <w:rPr>
          <w:rFonts w:ascii="Times New Roman" w:hAnsi="Times New Roman"/>
          <w:sz w:val="20"/>
          <w:szCs w:val="20"/>
          <w:lang w:eastAsia="en-GB"/>
        </w:rPr>
        <w:tab/>
        <w:t>3</w:t>
      </w:r>
      <w:r w:rsidR="008E28E9">
        <w:rPr>
          <w:rFonts w:ascii="Times New Roman" w:hAnsi="Times New Roman"/>
          <w:sz w:val="20"/>
          <w:szCs w:val="20"/>
          <w:lang w:eastAsia="en-GB"/>
        </w:rPr>
        <w:t>9</w:t>
      </w:r>
    </w:p>
    <w:p w14:paraId="47593690" w14:textId="77777777" w:rsidR="00AA59C5" w:rsidRDefault="00AA59C5" w:rsidP="00AA59C5">
      <w:pPr>
        <w:pStyle w:val="ListParagraph"/>
        <w:numPr>
          <w:ilvl w:val="1"/>
          <w:numId w:val="10"/>
        </w:numPr>
        <w:autoSpaceDE w:val="0"/>
        <w:autoSpaceDN w:val="0"/>
        <w:adjustRightInd w:val="0"/>
        <w:spacing w:after="0" w:line="360" w:lineRule="auto"/>
        <w:jc w:val="both"/>
        <w:rPr>
          <w:rFonts w:ascii="Times New Roman" w:hAnsi="Times New Roman"/>
          <w:sz w:val="20"/>
          <w:szCs w:val="20"/>
          <w:lang w:eastAsia="en-GB"/>
        </w:rPr>
      </w:pPr>
      <w:r>
        <w:rPr>
          <w:rFonts w:ascii="Times New Roman" w:hAnsi="Times New Roman"/>
          <w:sz w:val="20"/>
          <w:szCs w:val="20"/>
          <w:lang w:eastAsia="en-GB"/>
        </w:rPr>
        <w:t xml:space="preserve">Izvještaj o stanju potraživanja i dospjelih obveza te o stanju potencijalnih obveza </w:t>
      </w:r>
    </w:p>
    <w:p w14:paraId="448F1EF5" w14:textId="6808E6D4" w:rsidR="00AA59C5" w:rsidRPr="006D469E" w:rsidRDefault="00AA59C5" w:rsidP="00AA59C5">
      <w:pPr>
        <w:pStyle w:val="ListParagraph"/>
        <w:autoSpaceDE w:val="0"/>
        <w:autoSpaceDN w:val="0"/>
        <w:adjustRightInd w:val="0"/>
        <w:spacing w:after="0" w:line="360" w:lineRule="auto"/>
        <w:ind w:left="1074"/>
        <w:jc w:val="both"/>
        <w:rPr>
          <w:rFonts w:ascii="Times New Roman" w:hAnsi="Times New Roman"/>
          <w:sz w:val="20"/>
          <w:szCs w:val="20"/>
          <w:lang w:eastAsia="en-GB"/>
        </w:rPr>
      </w:pPr>
      <w:r>
        <w:rPr>
          <w:rFonts w:ascii="Times New Roman" w:hAnsi="Times New Roman"/>
          <w:sz w:val="20"/>
          <w:szCs w:val="20"/>
          <w:lang w:eastAsia="en-GB"/>
        </w:rPr>
        <w:t>po osnovi suds</w:t>
      </w:r>
      <w:r w:rsidR="008E28E9">
        <w:rPr>
          <w:rFonts w:ascii="Times New Roman" w:hAnsi="Times New Roman"/>
          <w:sz w:val="20"/>
          <w:szCs w:val="20"/>
          <w:lang w:eastAsia="en-GB"/>
        </w:rPr>
        <w:t>kih sporova</w:t>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r>
      <w:r w:rsidR="008E28E9">
        <w:rPr>
          <w:rFonts w:ascii="Times New Roman" w:hAnsi="Times New Roman"/>
          <w:sz w:val="20"/>
          <w:szCs w:val="20"/>
          <w:lang w:eastAsia="en-GB"/>
        </w:rPr>
        <w:tab/>
        <w:t>40</w:t>
      </w:r>
    </w:p>
    <w:p w14:paraId="2C4EF0C1" w14:textId="77777777" w:rsidR="002D3B2A" w:rsidRDefault="002D3B2A" w:rsidP="00F63313">
      <w:pPr>
        <w:spacing w:after="0" w:line="240" w:lineRule="auto"/>
        <w:jc w:val="center"/>
        <w:rPr>
          <w:rFonts w:ascii="Times New Roman" w:hAnsi="Times New Roman"/>
          <w:b/>
          <w:bCs/>
          <w:i/>
          <w:sz w:val="24"/>
          <w:szCs w:val="24"/>
        </w:rPr>
      </w:pPr>
    </w:p>
    <w:p w14:paraId="6B76D43B" w14:textId="77777777" w:rsidR="002D3B2A" w:rsidRDefault="002D3B2A" w:rsidP="00F63313">
      <w:pPr>
        <w:spacing w:after="0" w:line="240" w:lineRule="auto"/>
        <w:jc w:val="center"/>
        <w:rPr>
          <w:rFonts w:ascii="Times New Roman" w:hAnsi="Times New Roman"/>
          <w:b/>
          <w:bCs/>
          <w:i/>
          <w:sz w:val="24"/>
          <w:szCs w:val="24"/>
        </w:rPr>
      </w:pPr>
    </w:p>
    <w:p w14:paraId="48B8DD82" w14:textId="77777777" w:rsidR="00333682" w:rsidRDefault="00333682" w:rsidP="00F63313">
      <w:pPr>
        <w:spacing w:after="0" w:line="240" w:lineRule="auto"/>
        <w:jc w:val="center"/>
        <w:rPr>
          <w:rFonts w:ascii="Times New Roman" w:hAnsi="Times New Roman"/>
          <w:b/>
          <w:bCs/>
          <w:i/>
          <w:sz w:val="24"/>
          <w:szCs w:val="24"/>
        </w:rPr>
      </w:pPr>
    </w:p>
    <w:p w14:paraId="7716AAA7" w14:textId="77777777" w:rsidR="00333682" w:rsidRDefault="00333682" w:rsidP="00F63313">
      <w:pPr>
        <w:spacing w:after="0" w:line="240" w:lineRule="auto"/>
        <w:jc w:val="center"/>
        <w:rPr>
          <w:rFonts w:ascii="Times New Roman" w:hAnsi="Times New Roman"/>
          <w:b/>
          <w:bCs/>
          <w:i/>
          <w:sz w:val="24"/>
          <w:szCs w:val="24"/>
        </w:rPr>
      </w:pPr>
    </w:p>
    <w:p w14:paraId="3B9DAE1F" w14:textId="77777777" w:rsidR="00333682" w:rsidRDefault="00333682" w:rsidP="00F63313">
      <w:pPr>
        <w:spacing w:after="0" w:line="240" w:lineRule="auto"/>
        <w:jc w:val="center"/>
        <w:rPr>
          <w:rFonts w:ascii="Times New Roman" w:hAnsi="Times New Roman"/>
          <w:b/>
          <w:bCs/>
          <w:i/>
          <w:sz w:val="24"/>
          <w:szCs w:val="24"/>
        </w:rPr>
      </w:pPr>
    </w:p>
    <w:p w14:paraId="2B2DB301" w14:textId="77777777" w:rsidR="00333682" w:rsidRDefault="00333682" w:rsidP="00F63313">
      <w:pPr>
        <w:spacing w:after="0" w:line="240" w:lineRule="auto"/>
        <w:jc w:val="center"/>
        <w:rPr>
          <w:rFonts w:ascii="Times New Roman" w:hAnsi="Times New Roman"/>
          <w:b/>
          <w:bCs/>
          <w:i/>
          <w:sz w:val="24"/>
          <w:szCs w:val="24"/>
        </w:rPr>
      </w:pPr>
    </w:p>
    <w:p w14:paraId="1338FBBE" w14:textId="77777777" w:rsidR="00333682" w:rsidRDefault="00333682" w:rsidP="00F63313">
      <w:pPr>
        <w:spacing w:after="0" w:line="240" w:lineRule="auto"/>
        <w:jc w:val="center"/>
        <w:rPr>
          <w:rFonts w:ascii="Times New Roman" w:hAnsi="Times New Roman"/>
          <w:b/>
          <w:bCs/>
          <w:i/>
          <w:sz w:val="24"/>
          <w:szCs w:val="24"/>
        </w:rPr>
      </w:pPr>
    </w:p>
    <w:p w14:paraId="0C1E5B5A" w14:textId="77777777" w:rsidR="00333682" w:rsidRDefault="00333682" w:rsidP="00F63313">
      <w:pPr>
        <w:spacing w:after="0" w:line="240" w:lineRule="auto"/>
        <w:jc w:val="center"/>
        <w:rPr>
          <w:rFonts w:ascii="Times New Roman" w:hAnsi="Times New Roman"/>
          <w:b/>
          <w:bCs/>
          <w:i/>
          <w:sz w:val="24"/>
          <w:szCs w:val="24"/>
        </w:rPr>
      </w:pPr>
    </w:p>
    <w:p w14:paraId="03A34F6F" w14:textId="77777777" w:rsidR="00333682" w:rsidRDefault="00333682" w:rsidP="00F63313">
      <w:pPr>
        <w:spacing w:after="0" w:line="240" w:lineRule="auto"/>
        <w:jc w:val="center"/>
        <w:rPr>
          <w:rFonts w:ascii="Times New Roman" w:hAnsi="Times New Roman"/>
          <w:b/>
          <w:bCs/>
          <w:i/>
          <w:sz w:val="24"/>
          <w:szCs w:val="24"/>
        </w:rPr>
      </w:pPr>
    </w:p>
    <w:p w14:paraId="2B2B1098" w14:textId="77777777" w:rsidR="00333682" w:rsidRDefault="00333682" w:rsidP="00F63313">
      <w:pPr>
        <w:spacing w:after="0" w:line="240" w:lineRule="auto"/>
        <w:jc w:val="center"/>
        <w:rPr>
          <w:rFonts w:ascii="Times New Roman" w:hAnsi="Times New Roman"/>
          <w:b/>
          <w:bCs/>
          <w:i/>
          <w:sz w:val="24"/>
          <w:szCs w:val="24"/>
        </w:rPr>
      </w:pPr>
    </w:p>
    <w:p w14:paraId="2E2864B2" w14:textId="77777777" w:rsidR="00333682" w:rsidRDefault="00333682" w:rsidP="00F63313">
      <w:pPr>
        <w:spacing w:after="0" w:line="240" w:lineRule="auto"/>
        <w:jc w:val="center"/>
        <w:rPr>
          <w:rFonts w:ascii="Times New Roman" w:hAnsi="Times New Roman"/>
          <w:b/>
          <w:bCs/>
          <w:i/>
          <w:sz w:val="24"/>
          <w:szCs w:val="24"/>
        </w:rPr>
      </w:pPr>
    </w:p>
    <w:p w14:paraId="5EABD375" w14:textId="77777777" w:rsidR="00333682" w:rsidRDefault="00333682" w:rsidP="00F63313">
      <w:pPr>
        <w:spacing w:after="0" w:line="240" w:lineRule="auto"/>
        <w:jc w:val="center"/>
        <w:rPr>
          <w:rFonts w:ascii="Times New Roman" w:hAnsi="Times New Roman"/>
          <w:b/>
          <w:bCs/>
          <w:i/>
          <w:sz w:val="24"/>
          <w:szCs w:val="24"/>
        </w:rPr>
      </w:pPr>
    </w:p>
    <w:p w14:paraId="00DC24B2" w14:textId="77777777" w:rsidR="00333682" w:rsidRDefault="00333682" w:rsidP="00F63313">
      <w:pPr>
        <w:spacing w:after="0" w:line="240" w:lineRule="auto"/>
        <w:jc w:val="center"/>
        <w:rPr>
          <w:rFonts w:ascii="Times New Roman" w:hAnsi="Times New Roman"/>
          <w:b/>
          <w:bCs/>
          <w:i/>
          <w:sz w:val="24"/>
          <w:szCs w:val="24"/>
        </w:rPr>
      </w:pPr>
    </w:p>
    <w:p w14:paraId="18787770" w14:textId="77777777" w:rsidR="00333682" w:rsidRDefault="00333682" w:rsidP="00F63313">
      <w:pPr>
        <w:spacing w:after="0" w:line="240" w:lineRule="auto"/>
        <w:jc w:val="center"/>
        <w:rPr>
          <w:rFonts w:ascii="Times New Roman" w:hAnsi="Times New Roman"/>
          <w:b/>
          <w:bCs/>
          <w:i/>
          <w:sz w:val="24"/>
          <w:szCs w:val="24"/>
        </w:rPr>
      </w:pPr>
    </w:p>
    <w:p w14:paraId="608AD50F" w14:textId="77777777" w:rsidR="00333682" w:rsidRDefault="00333682" w:rsidP="00F63313">
      <w:pPr>
        <w:spacing w:after="0" w:line="240" w:lineRule="auto"/>
        <w:jc w:val="center"/>
        <w:rPr>
          <w:rFonts w:ascii="Times New Roman" w:hAnsi="Times New Roman"/>
          <w:b/>
          <w:bCs/>
          <w:i/>
          <w:sz w:val="24"/>
          <w:szCs w:val="24"/>
        </w:rPr>
      </w:pPr>
    </w:p>
    <w:p w14:paraId="491C8FD4" w14:textId="77777777" w:rsidR="00333682" w:rsidRDefault="00333682" w:rsidP="00F63313">
      <w:pPr>
        <w:spacing w:after="0" w:line="240" w:lineRule="auto"/>
        <w:jc w:val="center"/>
        <w:rPr>
          <w:rFonts w:ascii="Times New Roman" w:hAnsi="Times New Roman"/>
          <w:b/>
          <w:bCs/>
          <w:i/>
          <w:sz w:val="24"/>
          <w:szCs w:val="24"/>
        </w:rPr>
      </w:pPr>
    </w:p>
    <w:p w14:paraId="67C6A569" w14:textId="77777777" w:rsidR="00333682" w:rsidRDefault="00333682" w:rsidP="00F63313">
      <w:pPr>
        <w:spacing w:after="0" w:line="240" w:lineRule="auto"/>
        <w:jc w:val="center"/>
        <w:rPr>
          <w:rFonts w:ascii="Times New Roman" w:hAnsi="Times New Roman"/>
          <w:b/>
          <w:bCs/>
          <w:i/>
          <w:sz w:val="24"/>
          <w:szCs w:val="24"/>
        </w:rPr>
      </w:pPr>
    </w:p>
    <w:p w14:paraId="4AC48E7A" w14:textId="77777777" w:rsidR="00333682" w:rsidRDefault="00333682" w:rsidP="00F63313">
      <w:pPr>
        <w:spacing w:after="0" w:line="240" w:lineRule="auto"/>
        <w:jc w:val="center"/>
        <w:rPr>
          <w:rFonts w:ascii="Times New Roman" w:hAnsi="Times New Roman"/>
          <w:b/>
          <w:bCs/>
          <w:i/>
          <w:sz w:val="24"/>
          <w:szCs w:val="24"/>
        </w:rPr>
      </w:pPr>
    </w:p>
    <w:p w14:paraId="719AB649" w14:textId="77777777" w:rsidR="00333682" w:rsidRDefault="00333682" w:rsidP="00F63313">
      <w:pPr>
        <w:spacing w:after="0" w:line="240" w:lineRule="auto"/>
        <w:jc w:val="center"/>
        <w:rPr>
          <w:rFonts w:ascii="Times New Roman" w:hAnsi="Times New Roman"/>
          <w:b/>
          <w:bCs/>
          <w:i/>
          <w:sz w:val="24"/>
          <w:szCs w:val="24"/>
        </w:rPr>
      </w:pPr>
    </w:p>
    <w:p w14:paraId="574FF1CC" w14:textId="77777777" w:rsidR="00333682" w:rsidRDefault="00333682" w:rsidP="00F63313">
      <w:pPr>
        <w:spacing w:after="0" w:line="240" w:lineRule="auto"/>
        <w:jc w:val="center"/>
        <w:rPr>
          <w:rFonts w:ascii="Times New Roman" w:hAnsi="Times New Roman"/>
          <w:b/>
          <w:bCs/>
          <w:i/>
          <w:sz w:val="24"/>
          <w:szCs w:val="24"/>
        </w:rPr>
      </w:pPr>
    </w:p>
    <w:p w14:paraId="30FC12E0" w14:textId="77777777" w:rsidR="00333682" w:rsidRDefault="00333682" w:rsidP="00F63313">
      <w:pPr>
        <w:spacing w:after="0" w:line="240" w:lineRule="auto"/>
        <w:jc w:val="center"/>
        <w:rPr>
          <w:rFonts w:ascii="Times New Roman" w:hAnsi="Times New Roman"/>
          <w:b/>
          <w:bCs/>
          <w:i/>
          <w:sz w:val="24"/>
          <w:szCs w:val="24"/>
        </w:rPr>
      </w:pPr>
    </w:p>
    <w:p w14:paraId="03D44F9A" w14:textId="77777777" w:rsidR="00333682" w:rsidRDefault="00333682" w:rsidP="00084A1B">
      <w:pPr>
        <w:spacing w:after="0" w:line="240" w:lineRule="auto"/>
        <w:rPr>
          <w:rFonts w:ascii="Times New Roman" w:hAnsi="Times New Roman"/>
          <w:b/>
          <w:bCs/>
          <w:i/>
          <w:sz w:val="24"/>
          <w:szCs w:val="24"/>
        </w:rPr>
      </w:pPr>
    </w:p>
    <w:p w14:paraId="1402F139" w14:textId="77777777" w:rsidR="00F63313" w:rsidRPr="002A734C" w:rsidRDefault="002A734C" w:rsidP="002A734C">
      <w:pPr>
        <w:shd w:val="clear" w:color="auto" w:fill="DBE5F1" w:themeFill="accent1" w:themeFillTint="33"/>
        <w:spacing w:after="0" w:line="240" w:lineRule="auto"/>
        <w:jc w:val="both"/>
        <w:rPr>
          <w:rFonts w:ascii="Times New Roman" w:hAnsi="Times New Roman"/>
          <w:bCs/>
          <w:iCs/>
        </w:rPr>
      </w:pPr>
      <w:r w:rsidRPr="002A734C">
        <w:rPr>
          <w:rFonts w:ascii="Times New Roman" w:hAnsi="Times New Roman"/>
          <w:b/>
          <w:bCs/>
          <w:iCs/>
        </w:rPr>
        <w:lastRenderedPageBreak/>
        <w:t xml:space="preserve">1. </w:t>
      </w:r>
      <w:r w:rsidR="00333682" w:rsidRPr="002A734C">
        <w:rPr>
          <w:rFonts w:ascii="Times New Roman" w:hAnsi="Times New Roman"/>
          <w:b/>
          <w:bCs/>
          <w:iCs/>
        </w:rPr>
        <w:t>ZAKONSKA OBVEZA</w:t>
      </w:r>
    </w:p>
    <w:p w14:paraId="55286552" w14:textId="77777777" w:rsidR="00FF38ED" w:rsidRDefault="00FF38ED" w:rsidP="00902A6D">
      <w:pPr>
        <w:spacing w:after="0" w:line="240" w:lineRule="auto"/>
        <w:jc w:val="both"/>
        <w:rPr>
          <w:rFonts w:ascii="Times New Roman" w:hAnsi="Times New Roman"/>
          <w:bCs/>
        </w:rPr>
      </w:pPr>
    </w:p>
    <w:p w14:paraId="185813BE" w14:textId="7F8E2D0F" w:rsidR="00084A1B" w:rsidRPr="00285341" w:rsidRDefault="00902A6D" w:rsidP="00084A1B">
      <w:pPr>
        <w:spacing w:after="0" w:line="240" w:lineRule="auto"/>
        <w:jc w:val="both"/>
        <w:rPr>
          <w:rFonts w:ascii="Times New Roman" w:hAnsi="Times New Roman"/>
          <w:bCs/>
        </w:rPr>
      </w:pPr>
      <w:r w:rsidRPr="003E19C7">
        <w:rPr>
          <w:rFonts w:ascii="Times New Roman" w:hAnsi="Times New Roman"/>
          <w:bCs/>
        </w:rPr>
        <w:t>Zakonom o proračunu (</w:t>
      </w:r>
      <w:r w:rsidR="00FF38ED">
        <w:rPr>
          <w:rFonts w:ascii="Times New Roman" w:hAnsi="Times New Roman"/>
          <w:bCs/>
        </w:rPr>
        <w:t>„</w:t>
      </w:r>
      <w:r w:rsidRPr="003E19C7">
        <w:rPr>
          <w:rFonts w:ascii="Times New Roman" w:hAnsi="Times New Roman"/>
          <w:bCs/>
        </w:rPr>
        <w:t>Narodne novine</w:t>
      </w:r>
      <w:r w:rsidR="00FF38ED">
        <w:rPr>
          <w:rFonts w:ascii="Times New Roman" w:hAnsi="Times New Roman"/>
          <w:bCs/>
        </w:rPr>
        <w:t>“</w:t>
      </w:r>
      <w:r w:rsidRPr="003E19C7">
        <w:rPr>
          <w:rFonts w:ascii="Times New Roman" w:hAnsi="Times New Roman"/>
          <w:bCs/>
        </w:rPr>
        <w:t xml:space="preserve"> broj </w:t>
      </w:r>
      <w:r w:rsidR="0023367D" w:rsidRPr="003E19C7">
        <w:rPr>
          <w:rFonts w:ascii="Times New Roman" w:hAnsi="Times New Roman"/>
          <w:bCs/>
        </w:rPr>
        <w:t>144/</w:t>
      </w:r>
      <w:r w:rsidR="00FF38ED">
        <w:rPr>
          <w:rFonts w:ascii="Times New Roman" w:hAnsi="Times New Roman"/>
          <w:bCs/>
        </w:rPr>
        <w:t>20</w:t>
      </w:r>
      <w:r w:rsidR="0023367D" w:rsidRPr="003E19C7">
        <w:rPr>
          <w:rFonts w:ascii="Times New Roman" w:hAnsi="Times New Roman"/>
          <w:bCs/>
        </w:rPr>
        <w:t>21</w:t>
      </w:r>
      <w:r w:rsidR="00FF38ED">
        <w:rPr>
          <w:rFonts w:ascii="Times New Roman" w:hAnsi="Times New Roman"/>
          <w:bCs/>
        </w:rPr>
        <w:t>.</w:t>
      </w:r>
      <w:r w:rsidRPr="003E19C7">
        <w:rPr>
          <w:rFonts w:ascii="Times New Roman" w:hAnsi="Times New Roman"/>
          <w:bCs/>
        </w:rPr>
        <w:t>) propisana</w:t>
      </w:r>
      <w:r w:rsidR="002D3B2A" w:rsidRPr="003E19C7">
        <w:rPr>
          <w:rFonts w:ascii="Times New Roman" w:hAnsi="Times New Roman"/>
          <w:bCs/>
        </w:rPr>
        <w:t xml:space="preserve"> je </w:t>
      </w:r>
      <w:r w:rsidR="006951D9" w:rsidRPr="003E19C7">
        <w:rPr>
          <w:rFonts w:ascii="Times New Roman" w:hAnsi="Times New Roman"/>
          <w:bCs/>
        </w:rPr>
        <w:t xml:space="preserve">obveza </w:t>
      </w:r>
      <w:r w:rsidR="00C04153" w:rsidRPr="003E19C7">
        <w:rPr>
          <w:rFonts w:ascii="Times New Roman" w:hAnsi="Times New Roman"/>
          <w:bCs/>
        </w:rPr>
        <w:t xml:space="preserve">izrade i podnošenja </w:t>
      </w:r>
      <w:r w:rsidR="00084A1B">
        <w:rPr>
          <w:rFonts w:ascii="Times New Roman" w:hAnsi="Times New Roman"/>
          <w:bCs/>
        </w:rPr>
        <w:t>G</w:t>
      </w:r>
      <w:r w:rsidR="002D3B2A" w:rsidRPr="003E19C7">
        <w:rPr>
          <w:rFonts w:ascii="Times New Roman" w:hAnsi="Times New Roman"/>
          <w:bCs/>
        </w:rPr>
        <w:t>odišnjeg</w:t>
      </w:r>
      <w:r w:rsidRPr="003E19C7">
        <w:rPr>
          <w:rFonts w:ascii="Times New Roman" w:hAnsi="Times New Roman"/>
          <w:bCs/>
        </w:rPr>
        <w:t xml:space="preserve"> izvještaja o izvršenju proračuna predstavničkom tijelu </w:t>
      </w:r>
      <w:r w:rsidR="00084A1B" w:rsidRPr="00285341">
        <w:rPr>
          <w:rFonts w:ascii="Times New Roman" w:hAnsi="Times New Roman"/>
          <w:bCs/>
        </w:rPr>
        <w:t xml:space="preserve">na donošenje do 31. svibnja tekuće godine za prethodno proračunsko razdoblje. </w:t>
      </w:r>
    </w:p>
    <w:p w14:paraId="4C130689" w14:textId="05FA12E7" w:rsidR="00902A6D" w:rsidRPr="003E19C7" w:rsidRDefault="00902A6D" w:rsidP="00F63313">
      <w:pPr>
        <w:spacing w:after="0" w:line="240" w:lineRule="auto"/>
        <w:jc w:val="both"/>
        <w:rPr>
          <w:rFonts w:ascii="Times New Roman" w:hAnsi="Times New Roman"/>
          <w:bCs/>
        </w:rPr>
      </w:pPr>
    </w:p>
    <w:p w14:paraId="117AD081" w14:textId="31DBEB7C" w:rsidR="00FF38ED" w:rsidRPr="00285341" w:rsidRDefault="00FF38ED" w:rsidP="00FF38ED">
      <w:pPr>
        <w:spacing w:after="0" w:line="240" w:lineRule="auto"/>
        <w:jc w:val="both"/>
        <w:rPr>
          <w:rFonts w:ascii="Times New Roman" w:eastAsia="Calibri" w:hAnsi="Times New Roman"/>
        </w:rPr>
      </w:pPr>
      <w:r w:rsidRPr="00285341">
        <w:rPr>
          <w:rFonts w:ascii="Times New Roman" w:eastAsia="Calibri" w:hAnsi="Times New Roman"/>
        </w:rPr>
        <w:t xml:space="preserve">Sadržaj </w:t>
      </w:r>
      <w:r w:rsidR="00084A1B">
        <w:rPr>
          <w:rFonts w:ascii="Times New Roman" w:eastAsia="Calibri" w:hAnsi="Times New Roman"/>
        </w:rPr>
        <w:t>G</w:t>
      </w:r>
      <w:r w:rsidRPr="00285341">
        <w:rPr>
          <w:rFonts w:ascii="Times New Roman" w:eastAsia="Calibri" w:hAnsi="Times New Roman"/>
        </w:rPr>
        <w:t xml:space="preserve">odišnjeg izvještaja o izvršenju proračuna definiran je odredbama članka 4. Pravilnika o polugodišnjem i godišnjem izvještaju o izvršenju proračuna i financijskog plana </w:t>
      </w:r>
      <w:r w:rsidRPr="00285341">
        <w:rPr>
          <w:rFonts w:ascii="Times New Roman" w:eastAsia="Calibri" w:hAnsi="Times New Roman"/>
          <w:bCs/>
        </w:rPr>
        <w:t>(„Narodne novine“ broj 85/2023.)</w:t>
      </w:r>
      <w:r w:rsidRPr="00285341">
        <w:rPr>
          <w:rFonts w:ascii="Times New Roman" w:eastAsia="Calibri" w:hAnsi="Times New Roman"/>
        </w:rPr>
        <w:t xml:space="preserve"> i u članku 76. Zakona o proračunu („Narodne novine“ broj 144/2021.). U skladu sa zakonskom obvezom, sastavljen je </w:t>
      </w:r>
      <w:r w:rsidR="00084A1B">
        <w:rPr>
          <w:rFonts w:ascii="Times New Roman" w:eastAsia="Calibri" w:hAnsi="Times New Roman"/>
        </w:rPr>
        <w:t>G</w:t>
      </w:r>
      <w:r w:rsidRPr="00285341">
        <w:rPr>
          <w:rFonts w:ascii="Times New Roman" w:eastAsia="Calibri" w:hAnsi="Times New Roman"/>
        </w:rPr>
        <w:t xml:space="preserve">odišnji izvještaj o izvršenju Proračuna </w:t>
      </w:r>
      <w:r>
        <w:rPr>
          <w:rFonts w:ascii="Times New Roman" w:eastAsia="Calibri" w:hAnsi="Times New Roman"/>
        </w:rPr>
        <w:t>Općine Oprtalj</w:t>
      </w:r>
      <w:r w:rsidRPr="00285341">
        <w:rPr>
          <w:rFonts w:ascii="Times New Roman" w:eastAsia="Calibri" w:hAnsi="Times New Roman"/>
        </w:rPr>
        <w:t xml:space="preserve"> za 202</w:t>
      </w:r>
      <w:r w:rsidR="00EC22B6">
        <w:rPr>
          <w:rFonts w:ascii="Times New Roman" w:eastAsia="Calibri" w:hAnsi="Times New Roman"/>
        </w:rPr>
        <w:t>5</w:t>
      </w:r>
      <w:r w:rsidRPr="00285341">
        <w:rPr>
          <w:rFonts w:ascii="Times New Roman" w:eastAsia="Calibri" w:hAnsi="Times New Roman"/>
        </w:rPr>
        <w:t>. godinu koji  sadrži:</w:t>
      </w:r>
    </w:p>
    <w:p w14:paraId="2F9D9E2F" w14:textId="77777777" w:rsidR="00FF38ED" w:rsidRPr="00285341" w:rsidRDefault="00FF38ED" w:rsidP="00FF38ED">
      <w:pPr>
        <w:numPr>
          <w:ilvl w:val="0"/>
          <w:numId w:val="25"/>
        </w:numPr>
        <w:spacing w:after="0" w:line="240" w:lineRule="auto"/>
        <w:jc w:val="both"/>
        <w:rPr>
          <w:rFonts w:ascii="Times New Roman" w:hAnsi="Times New Roman"/>
        </w:rPr>
      </w:pPr>
      <w:r w:rsidRPr="00285341">
        <w:rPr>
          <w:rFonts w:ascii="Times New Roman" w:hAnsi="Times New Roman"/>
        </w:rPr>
        <w:t>opći dio</w:t>
      </w:r>
    </w:p>
    <w:p w14:paraId="4CCA4930" w14:textId="77777777" w:rsidR="00FF38ED" w:rsidRPr="00285341" w:rsidRDefault="00FF38ED" w:rsidP="00FF38ED">
      <w:pPr>
        <w:numPr>
          <w:ilvl w:val="0"/>
          <w:numId w:val="25"/>
        </w:numPr>
        <w:spacing w:after="0" w:line="240" w:lineRule="auto"/>
        <w:jc w:val="both"/>
        <w:rPr>
          <w:rFonts w:ascii="Times New Roman" w:hAnsi="Times New Roman"/>
        </w:rPr>
      </w:pPr>
      <w:r w:rsidRPr="00285341">
        <w:rPr>
          <w:rFonts w:ascii="Times New Roman" w:hAnsi="Times New Roman"/>
        </w:rPr>
        <w:t>posebni dio</w:t>
      </w:r>
    </w:p>
    <w:p w14:paraId="0766A7A8" w14:textId="04839845" w:rsidR="00FF38ED" w:rsidRPr="00285341" w:rsidRDefault="00FF38ED" w:rsidP="00FF38ED">
      <w:pPr>
        <w:numPr>
          <w:ilvl w:val="0"/>
          <w:numId w:val="25"/>
        </w:numPr>
        <w:spacing w:after="0" w:line="240" w:lineRule="auto"/>
        <w:jc w:val="both"/>
        <w:rPr>
          <w:rFonts w:ascii="Times New Roman" w:hAnsi="Times New Roman"/>
        </w:rPr>
      </w:pPr>
      <w:r w:rsidRPr="00285341">
        <w:rPr>
          <w:rFonts w:ascii="Times New Roman" w:hAnsi="Times New Roman"/>
        </w:rPr>
        <w:t>obrazloženje</w:t>
      </w:r>
      <w:r w:rsidR="00084A1B">
        <w:rPr>
          <w:rFonts w:ascii="Times New Roman" w:hAnsi="Times New Roman"/>
        </w:rPr>
        <w:t xml:space="preserve"> i</w:t>
      </w:r>
    </w:p>
    <w:p w14:paraId="083A9D1E" w14:textId="77777777" w:rsidR="00FF38ED" w:rsidRPr="00285341" w:rsidRDefault="00FF38ED" w:rsidP="00FF38ED">
      <w:pPr>
        <w:numPr>
          <w:ilvl w:val="0"/>
          <w:numId w:val="25"/>
        </w:numPr>
        <w:spacing w:after="0" w:line="240" w:lineRule="auto"/>
        <w:jc w:val="both"/>
        <w:rPr>
          <w:rFonts w:ascii="Times New Roman" w:hAnsi="Times New Roman"/>
        </w:rPr>
      </w:pPr>
      <w:r w:rsidRPr="00285341">
        <w:rPr>
          <w:rFonts w:ascii="Times New Roman" w:hAnsi="Times New Roman"/>
        </w:rPr>
        <w:t>posebne izvještaje.</w:t>
      </w:r>
    </w:p>
    <w:p w14:paraId="4BAA4D82" w14:textId="77777777" w:rsidR="00FF38ED" w:rsidRDefault="00FF38ED" w:rsidP="00FF38ED">
      <w:pPr>
        <w:spacing w:after="0" w:line="240" w:lineRule="auto"/>
        <w:jc w:val="both"/>
        <w:rPr>
          <w:rFonts w:ascii="Times New Roman" w:eastAsia="Calibri" w:hAnsi="Times New Roman"/>
        </w:rPr>
      </w:pPr>
    </w:p>
    <w:p w14:paraId="5F6C4440" w14:textId="77FE44CA" w:rsidR="00FF38ED" w:rsidRPr="00285341" w:rsidRDefault="00FF38ED" w:rsidP="00FF38ED">
      <w:pPr>
        <w:spacing w:after="0" w:line="240" w:lineRule="auto"/>
        <w:jc w:val="both"/>
        <w:rPr>
          <w:rFonts w:ascii="Times New Roman" w:eastAsia="Calibri" w:hAnsi="Times New Roman"/>
        </w:rPr>
      </w:pPr>
      <w:r w:rsidRPr="00285341">
        <w:rPr>
          <w:rFonts w:ascii="Times New Roman" w:eastAsia="Calibri" w:hAnsi="Times New Roman"/>
        </w:rPr>
        <w:t>U posebnom dijelu godišnjeg izvještaja o izvršenju proračuna, u izvještaju po programskoj klasifikaciji</w:t>
      </w:r>
      <w:r>
        <w:rPr>
          <w:rFonts w:ascii="Times New Roman" w:eastAsia="Calibri" w:hAnsi="Times New Roman"/>
        </w:rPr>
        <w:t>,</w:t>
      </w:r>
      <w:r w:rsidRPr="00285341">
        <w:rPr>
          <w:rFonts w:ascii="Times New Roman" w:eastAsia="Calibri" w:hAnsi="Times New Roman"/>
        </w:rPr>
        <w:t xml:space="preserve"> plan rashoda i izdataka iskazan je na razini skupine ekonomske klasifikacije (druga razina računskog plana), a izvršenje za izvještajno razdoblje na razini skupine i odjeljka ekonomske klasifikacije (na drugoj i četvrtoj razini računskog plana) sukladno usvojenom Proračunu za 202</w:t>
      </w:r>
      <w:r w:rsidR="00EC22B6">
        <w:rPr>
          <w:rFonts w:ascii="Times New Roman" w:eastAsia="Calibri" w:hAnsi="Times New Roman"/>
        </w:rPr>
        <w:t>5</w:t>
      </w:r>
      <w:r w:rsidRPr="00285341">
        <w:rPr>
          <w:rFonts w:ascii="Times New Roman" w:eastAsia="Calibri" w:hAnsi="Times New Roman"/>
        </w:rPr>
        <w:t>. godinu.</w:t>
      </w:r>
    </w:p>
    <w:p w14:paraId="578324CA" w14:textId="77777777" w:rsidR="00FF38ED" w:rsidRPr="00285341" w:rsidRDefault="00FF38ED" w:rsidP="00FF38ED">
      <w:pPr>
        <w:widowControl w:val="0"/>
        <w:tabs>
          <w:tab w:val="center" w:pos="7699"/>
        </w:tabs>
        <w:autoSpaceDE w:val="0"/>
        <w:autoSpaceDN w:val="0"/>
        <w:adjustRightInd w:val="0"/>
        <w:spacing w:after="0" w:line="240" w:lineRule="auto"/>
        <w:rPr>
          <w:rFonts w:ascii="Times New Roman" w:hAnsi="Times New Roman"/>
          <w:bCs/>
          <w:color w:val="000000"/>
        </w:rPr>
      </w:pPr>
    </w:p>
    <w:p w14:paraId="5D27358B" w14:textId="0D75A955" w:rsidR="00FF38ED" w:rsidRPr="003E19C7" w:rsidRDefault="00084A1B" w:rsidP="00FF38ED">
      <w:pPr>
        <w:spacing w:after="0" w:line="240" w:lineRule="auto"/>
        <w:jc w:val="both"/>
        <w:rPr>
          <w:rFonts w:ascii="Times New Roman" w:hAnsi="Times New Roman"/>
        </w:rPr>
      </w:pPr>
      <w:r>
        <w:rPr>
          <w:rFonts w:ascii="Times New Roman" w:hAnsi="Times New Roman"/>
        </w:rPr>
        <w:t>G</w:t>
      </w:r>
      <w:r w:rsidR="00FF38ED" w:rsidRPr="00285341">
        <w:rPr>
          <w:rFonts w:ascii="Times New Roman" w:hAnsi="Times New Roman"/>
        </w:rPr>
        <w:t>odišnji izvještaj o izvršenju proračuna Općine Oprtalj za 202</w:t>
      </w:r>
      <w:r w:rsidR="00EC22B6">
        <w:rPr>
          <w:rFonts w:ascii="Times New Roman" w:hAnsi="Times New Roman"/>
        </w:rPr>
        <w:t>5</w:t>
      </w:r>
      <w:r w:rsidR="00FF38ED" w:rsidRPr="00285341">
        <w:rPr>
          <w:rFonts w:ascii="Times New Roman" w:hAnsi="Times New Roman"/>
        </w:rPr>
        <w:t>. godinu objavit će se na internetskim</w:t>
      </w:r>
      <w:r w:rsidR="00FF38ED" w:rsidRPr="003E19C7">
        <w:rPr>
          <w:rFonts w:ascii="Times New Roman" w:hAnsi="Times New Roman"/>
        </w:rPr>
        <w:t xml:space="preserve"> stranicama Općine Oprtalj</w:t>
      </w:r>
      <w:r w:rsidR="0073683C">
        <w:rPr>
          <w:rFonts w:ascii="Times New Roman" w:hAnsi="Times New Roman"/>
        </w:rPr>
        <w:t xml:space="preserve"> - Portole</w:t>
      </w:r>
      <w:r w:rsidR="00FF38ED" w:rsidRPr="003E19C7">
        <w:rPr>
          <w:rFonts w:ascii="Times New Roman" w:hAnsi="Times New Roman"/>
        </w:rPr>
        <w:t xml:space="preserve"> (www.oprtalj.hr) i u Službenim novinama Općine Oprtalj</w:t>
      </w:r>
      <w:r w:rsidR="0073683C">
        <w:rPr>
          <w:rFonts w:ascii="Times New Roman" w:hAnsi="Times New Roman"/>
        </w:rPr>
        <w:t xml:space="preserve"> – Portole</w:t>
      </w:r>
      <w:r w:rsidR="00FF38ED">
        <w:rPr>
          <w:rFonts w:ascii="Times New Roman" w:hAnsi="Times New Roman"/>
        </w:rPr>
        <w:t>.</w:t>
      </w:r>
    </w:p>
    <w:p w14:paraId="443DFF5F" w14:textId="77777777" w:rsidR="00FF38ED" w:rsidRDefault="00FF38ED" w:rsidP="00FF38ED">
      <w:pPr>
        <w:widowControl w:val="0"/>
        <w:tabs>
          <w:tab w:val="center" w:pos="7699"/>
        </w:tabs>
        <w:autoSpaceDE w:val="0"/>
        <w:autoSpaceDN w:val="0"/>
        <w:adjustRightInd w:val="0"/>
        <w:spacing w:after="0" w:line="240" w:lineRule="auto"/>
        <w:rPr>
          <w:rFonts w:ascii="Times New Roman" w:hAnsi="Times New Roman"/>
          <w:bCs/>
          <w:color w:val="000000"/>
        </w:rPr>
      </w:pPr>
    </w:p>
    <w:p w14:paraId="436D4345" w14:textId="77777777" w:rsidR="00F63313" w:rsidRDefault="00F63313"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51BA95EB" w14:textId="77777777" w:rsidR="00797197" w:rsidRDefault="00797197"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55A5AF25"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4EB74C33"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4F44D0F8"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24A41B25"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382B9DC7"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3C0E6FE2"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0856EB5A"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1A87159"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2F674705"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065FFB5"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28196C52"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00BD9119"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1A0AF5B1"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227EF3D5"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3A20C3BC"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5EDE2CC9"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321BE6DF"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05A2E70"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CA5CBCF"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2B510746"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7B04C374" w14:textId="77777777" w:rsidR="00084A1B" w:rsidRDefault="00084A1B"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72B9171D"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2EBACD3"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15C641C7"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41597636"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70352BB2"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47D1C11B"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3251E602"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719E1EE7" w14:textId="77777777" w:rsidR="002F7056" w:rsidRDefault="002F7056" w:rsidP="003D1492">
      <w:pPr>
        <w:widowControl w:val="0"/>
        <w:tabs>
          <w:tab w:val="center" w:pos="7699"/>
        </w:tabs>
        <w:autoSpaceDE w:val="0"/>
        <w:autoSpaceDN w:val="0"/>
        <w:adjustRightInd w:val="0"/>
        <w:spacing w:after="0" w:line="240" w:lineRule="auto"/>
        <w:rPr>
          <w:rFonts w:ascii="Times New Roman" w:hAnsi="Times New Roman"/>
          <w:bCs/>
          <w:color w:val="000000"/>
        </w:rPr>
      </w:pPr>
    </w:p>
    <w:p w14:paraId="69969314" w14:textId="51AC69D2" w:rsidR="002F7056" w:rsidRDefault="002F7056" w:rsidP="002F7056">
      <w:pPr>
        <w:shd w:val="clear" w:color="auto" w:fill="DBE5F1" w:themeFill="accent1" w:themeFillTint="33"/>
        <w:spacing w:after="0" w:line="240" w:lineRule="auto"/>
        <w:jc w:val="both"/>
        <w:rPr>
          <w:rFonts w:ascii="Times New Roman" w:hAnsi="Times New Roman"/>
          <w:b/>
          <w:iCs/>
        </w:rPr>
      </w:pPr>
      <w:r>
        <w:rPr>
          <w:rFonts w:ascii="Times New Roman" w:hAnsi="Times New Roman"/>
          <w:b/>
          <w:iCs/>
        </w:rPr>
        <w:lastRenderedPageBreak/>
        <w:t>2</w:t>
      </w:r>
      <w:r w:rsidRPr="000A7169">
        <w:rPr>
          <w:rFonts w:ascii="Times New Roman" w:hAnsi="Times New Roman"/>
          <w:b/>
          <w:iCs/>
        </w:rPr>
        <w:t>. OBRAZLOŽENJE GODIŠNJEG IZVJEŠTAJA O IZVRŠENJU PRORAČUNA</w:t>
      </w:r>
    </w:p>
    <w:p w14:paraId="50954739" w14:textId="77777777" w:rsidR="002F7056" w:rsidRPr="000A7169" w:rsidRDefault="002F7056" w:rsidP="002F7056">
      <w:pPr>
        <w:shd w:val="clear" w:color="auto" w:fill="FFFFFF" w:themeFill="background1"/>
        <w:spacing w:after="0" w:line="240" w:lineRule="auto"/>
        <w:jc w:val="both"/>
        <w:rPr>
          <w:rFonts w:ascii="Times New Roman" w:hAnsi="Times New Roman"/>
          <w:b/>
          <w:iCs/>
        </w:rPr>
      </w:pPr>
    </w:p>
    <w:p w14:paraId="09DA3133" w14:textId="77777777" w:rsidR="002F7056" w:rsidRPr="000A7169" w:rsidRDefault="002F7056" w:rsidP="002F7056">
      <w:pPr>
        <w:shd w:val="clear" w:color="auto" w:fill="DBE5F1" w:themeFill="accent1" w:themeFillTint="33"/>
        <w:spacing w:after="0" w:line="240" w:lineRule="auto"/>
        <w:jc w:val="both"/>
        <w:rPr>
          <w:rFonts w:ascii="Times New Roman" w:hAnsi="Times New Roman"/>
          <w:b/>
          <w:iCs/>
        </w:rPr>
      </w:pPr>
      <w:r>
        <w:rPr>
          <w:rFonts w:ascii="Times New Roman" w:hAnsi="Times New Roman"/>
          <w:b/>
          <w:iCs/>
        </w:rPr>
        <w:t>2</w:t>
      </w:r>
      <w:r w:rsidRPr="000A7169">
        <w:rPr>
          <w:rFonts w:ascii="Times New Roman" w:hAnsi="Times New Roman"/>
          <w:b/>
          <w:iCs/>
        </w:rPr>
        <w:t xml:space="preserve">.1. OBRAZLOŽENJE OPĆEG DIJELA IZVJEŠTAJA O IZVRŠENJU PRORAČUNA </w:t>
      </w:r>
    </w:p>
    <w:p w14:paraId="129E1CB0" w14:textId="77777777" w:rsidR="002F7056" w:rsidRDefault="002F7056" w:rsidP="002F7056">
      <w:pPr>
        <w:spacing w:after="0" w:line="240" w:lineRule="auto"/>
        <w:jc w:val="both"/>
        <w:rPr>
          <w:rFonts w:ascii="Times New Roman" w:hAnsi="Times New Roman"/>
        </w:rPr>
      </w:pPr>
    </w:p>
    <w:p w14:paraId="56BF5764" w14:textId="39BE2367" w:rsidR="002F7056" w:rsidRPr="00102FB9" w:rsidRDefault="00B235C6" w:rsidP="002F7056">
      <w:pPr>
        <w:spacing w:after="0" w:line="240" w:lineRule="auto"/>
        <w:jc w:val="both"/>
        <w:rPr>
          <w:rFonts w:ascii="Times New Roman" w:hAnsi="Times New Roman"/>
        </w:rPr>
      </w:pPr>
      <w:r w:rsidRPr="00102FB9">
        <w:rPr>
          <w:rFonts w:ascii="Times New Roman" w:hAnsi="Times New Roman"/>
        </w:rPr>
        <w:t>I</w:t>
      </w:r>
      <w:r w:rsidR="00EC22B6" w:rsidRPr="00102FB9">
        <w:rPr>
          <w:rFonts w:ascii="Times New Roman" w:hAnsi="Times New Roman"/>
        </w:rPr>
        <w:t>I</w:t>
      </w:r>
      <w:r w:rsidRPr="00102FB9">
        <w:rPr>
          <w:rFonts w:ascii="Times New Roman" w:hAnsi="Times New Roman"/>
        </w:rPr>
        <w:t xml:space="preserve">. Izmjene i dopune </w:t>
      </w:r>
      <w:r w:rsidR="002F7056" w:rsidRPr="00102FB9">
        <w:rPr>
          <w:rFonts w:ascii="Times New Roman" w:hAnsi="Times New Roman"/>
        </w:rPr>
        <w:t>Proračun</w:t>
      </w:r>
      <w:r w:rsidRPr="00102FB9">
        <w:rPr>
          <w:rFonts w:ascii="Times New Roman" w:hAnsi="Times New Roman"/>
        </w:rPr>
        <w:t>a</w:t>
      </w:r>
      <w:r w:rsidR="00EC22B6" w:rsidRPr="00102FB9">
        <w:rPr>
          <w:rFonts w:ascii="Times New Roman" w:hAnsi="Times New Roman"/>
        </w:rPr>
        <w:t xml:space="preserve"> Općine Oprtalj za 2025</w:t>
      </w:r>
      <w:r w:rsidR="002F7056" w:rsidRPr="00102FB9">
        <w:rPr>
          <w:rFonts w:ascii="Times New Roman" w:hAnsi="Times New Roman"/>
        </w:rPr>
        <w:t xml:space="preserve">. godinu usvojene su na sjednici Općinskog vijeća Općine Oprtalj održanoj dana </w:t>
      </w:r>
      <w:r w:rsidRPr="00102FB9">
        <w:rPr>
          <w:rFonts w:ascii="Times New Roman" w:hAnsi="Times New Roman"/>
        </w:rPr>
        <w:t>12</w:t>
      </w:r>
      <w:r w:rsidR="002F7056" w:rsidRPr="00102FB9">
        <w:rPr>
          <w:rFonts w:ascii="Times New Roman" w:hAnsi="Times New Roman"/>
        </w:rPr>
        <w:t>. prosinca 202</w:t>
      </w:r>
      <w:r w:rsidR="00EC22B6" w:rsidRPr="00102FB9">
        <w:rPr>
          <w:rFonts w:ascii="Times New Roman" w:hAnsi="Times New Roman"/>
        </w:rPr>
        <w:t>5</w:t>
      </w:r>
      <w:r w:rsidR="002F7056" w:rsidRPr="00102FB9">
        <w:rPr>
          <w:rFonts w:ascii="Times New Roman" w:hAnsi="Times New Roman"/>
        </w:rPr>
        <w:t xml:space="preserve">. godine u iznosu od </w:t>
      </w:r>
      <w:r w:rsidR="00B773E5" w:rsidRPr="00102FB9">
        <w:rPr>
          <w:rFonts w:ascii="Times New Roman" w:hAnsi="Times New Roman"/>
        </w:rPr>
        <w:t>1</w:t>
      </w:r>
      <w:r w:rsidR="00102FB9" w:rsidRPr="00102FB9">
        <w:rPr>
          <w:rFonts w:ascii="Times New Roman" w:hAnsi="Times New Roman"/>
        </w:rPr>
        <w:t>.436.617,23</w:t>
      </w:r>
      <w:r w:rsidR="002F7056" w:rsidRPr="00102FB9">
        <w:rPr>
          <w:rFonts w:ascii="Times New Roman" w:hAnsi="Times New Roman"/>
        </w:rPr>
        <w:t xml:space="preserve"> EUR.</w:t>
      </w:r>
    </w:p>
    <w:p w14:paraId="05886DCD" w14:textId="77777777" w:rsidR="002F7056" w:rsidRPr="00AB2403" w:rsidRDefault="002F7056" w:rsidP="002F7056">
      <w:pPr>
        <w:spacing w:after="0" w:line="240" w:lineRule="auto"/>
        <w:jc w:val="both"/>
        <w:rPr>
          <w:rFonts w:ascii="Times New Roman" w:hAnsi="Times New Roman"/>
        </w:rPr>
      </w:pPr>
    </w:p>
    <w:p w14:paraId="5DE8F61C" w14:textId="47A91207" w:rsidR="002F7056" w:rsidRPr="000A7169" w:rsidRDefault="002F7056" w:rsidP="002F7056">
      <w:pPr>
        <w:spacing w:after="0" w:line="240" w:lineRule="auto"/>
        <w:jc w:val="both"/>
        <w:rPr>
          <w:rFonts w:ascii="Times New Roman" w:hAnsi="Times New Roman"/>
          <w:bCs/>
          <w:iCs/>
        </w:rPr>
      </w:pPr>
      <w:r w:rsidRPr="000A7169">
        <w:rPr>
          <w:rFonts w:ascii="Times New Roman" w:hAnsi="Times New Roman"/>
          <w:bCs/>
          <w:iCs/>
        </w:rPr>
        <w:t xml:space="preserve">Izvršenje Proračuna Općine Oprtalj </w:t>
      </w:r>
      <w:r w:rsidR="00A8241B">
        <w:rPr>
          <w:rFonts w:ascii="Times New Roman" w:hAnsi="Times New Roman"/>
          <w:bCs/>
          <w:iCs/>
        </w:rPr>
        <w:t xml:space="preserve">u </w:t>
      </w:r>
      <w:r w:rsidR="00102FB9">
        <w:rPr>
          <w:rFonts w:ascii="Times New Roman" w:hAnsi="Times New Roman"/>
          <w:bCs/>
          <w:iCs/>
        </w:rPr>
        <w:t>2025</w:t>
      </w:r>
      <w:r w:rsidR="00B773E5">
        <w:rPr>
          <w:rFonts w:ascii="Times New Roman" w:hAnsi="Times New Roman"/>
          <w:bCs/>
          <w:iCs/>
        </w:rPr>
        <w:t>. godini</w:t>
      </w:r>
      <w:r w:rsidRPr="000A7169">
        <w:rPr>
          <w:rFonts w:ascii="Times New Roman" w:hAnsi="Times New Roman"/>
          <w:bCs/>
          <w:iCs/>
        </w:rPr>
        <w:t xml:space="preserve"> realizirano je kako slijedi:</w:t>
      </w:r>
    </w:p>
    <w:p w14:paraId="4D36898E" w14:textId="79CA2C3D" w:rsidR="002F7056" w:rsidRPr="00AB2403" w:rsidRDefault="002F7056" w:rsidP="002F7056">
      <w:pPr>
        <w:pStyle w:val="ListParagraph"/>
        <w:numPr>
          <w:ilvl w:val="0"/>
          <w:numId w:val="2"/>
        </w:numPr>
        <w:spacing w:after="0" w:line="240" w:lineRule="auto"/>
        <w:jc w:val="both"/>
        <w:rPr>
          <w:rFonts w:ascii="Times New Roman" w:hAnsi="Times New Roman"/>
        </w:rPr>
      </w:pPr>
      <w:r w:rsidRPr="00AB2403">
        <w:rPr>
          <w:rFonts w:ascii="Times New Roman" w:hAnsi="Times New Roman"/>
        </w:rPr>
        <w:t xml:space="preserve">Ostvarenje tekućih prihoda poslovanja i prihoda od prodaje nefinancijske imovine iznosi </w:t>
      </w:r>
      <w:r w:rsidR="00FD39FB">
        <w:rPr>
          <w:rFonts w:ascii="Times New Roman" w:hAnsi="Times New Roman"/>
          <w:bCs/>
          <w:color w:val="000000"/>
        </w:rPr>
        <w:t>1.387.668,64</w:t>
      </w:r>
      <w:r>
        <w:rPr>
          <w:rFonts w:ascii="Times New Roman" w:hAnsi="Times New Roman"/>
          <w:bCs/>
          <w:color w:val="000000"/>
        </w:rPr>
        <w:t xml:space="preserve"> EUR</w:t>
      </w:r>
      <w:r w:rsidRPr="00AB2403">
        <w:rPr>
          <w:rFonts w:ascii="Times New Roman" w:hAnsi="Times New Roman"/>
        </w:rPr>
        <w:t xml:space="preserve">, a realizacija tekućih rashoda i rashoda za nabavu nefinancijske imovine iznose </w:t>
      </w:r>
      <w:r w:rsidR="00FD39FB">
        <w:rPr>
          <w:rFonts w:ascii="Times New Roman" w:hAnsi="Times New Roman"/>
          <w:bCs/>
          <w:color w:val="000000"/>
        </w:rPr>
        <w:t>1.325.757,09</w:t>
      </w:r>
      <w:r>
        <w:rPr>
          <w:rFonts w:ascii="Times New Roman" w:hAnsi="Times New Roman"/>
          <w:bCs/>
          <w:color w:val="000000"/>
        </w:rPr>
        <w:t xml:space="preserve"> EUR</w:t>
      </w:r>
      <w:r w:rsidRPr="00AB2403">
        <w:rPr>
          <w:rFonts w:ascii="Times New Roman" w:hAnsi="Times New Roman"/>
        </w:rPr>
        <w:t xml:space="preserve"> što rezultira </w:t>
      </w:r>
      <w:r>
        <w:rPr>
          <w:rFonts w:ascii="Times New Roman" w:hAnsi="Times New Roman"/>
        </w:rPr>
        <w:t>viškom</w:t>
      </w:r>
      <w:r w:rsidRPr="00AB2403">
        <w:rPr>
          <w:rFonts w:ascii="Times New Roman" w:hAnsi="Times New Roman"/>
        </w:rPr>
        <w:t xml:space="preserve"> prihoda u iznosu od </w:t>
      </w:r>
      <w:r w:rsidR="00FD39FB">
        <w:rPr>
          <w:rFonts w:ascii="Times New Roman" w:hAnsi="Times New Roman"/>
        </w:rPr>
        <w:t>61.911,55</w:t>
      </w:r>
      <w:r>
        <w:rPr>
          <w:rFonts w:ascii="Times New Roman" w:hAnsi="Times New Roman"/>
        </w:rPr>
        <w:t xml:space="preserve"> EUR</w:t>
      </w:r>
      <w:r w:rsidRPr="00AB2403">
        <w:rPr>
          <w:rFonts w:ascii="Times New Roman" w:hAnsi="Times New Roman"/>
        </w:rPr>
        <w:t>.</w:t>
      </w:r>
    </w:p>
    <w:p w14:paraId="4047F051" w14:textId="77777777" w:rsidR="002F7056" w:rsidRPr="00AB2403" w:rsidRDefault="002F7056" w:rsidP="002F7056">
      <w:pPr>
        <w:pStyle w:val="ListParagraph"/>
        <w:spacing w:after="0" w:line="240" w:lineRule="auto"/>
        <w:jc w:val="both"/>
        <w:rPr>
          <w:rFonts w:ascii="Times New Roman" w:hAnsi="Times New Roman"/>
        </w:rPr>
      </w:pPr>
    </w:p>
    <w:p w14:paraId="22DB2433" w14:textId="6865506C" w:rsidR="002F7056" w:rsidRPr="00AB2403" w:rsidRDefault="002F7056" w:rsidP="002F7056">
      <w:pPr>
        <w:pStyle w:val="ListParagraph"/>
        <w:numPr>
          <w:ilvl w:val="0"/>
          <w:numId w:val="2"/>
        </w:numPr>
        <w:spacing w:after="0" w:line="240" w:lineRule="auto"/>
        <w:jc w:val="both"/>
        <w:rPr>
          <w:rFonts w:ascii="Times New Roman" w:hAnsi="Times New Roman"/>
        </w:rPr>
      </w:pPr>
      <w:r w:rsidRPr="00AB2403">
        <w:rPr>
          <w:rFonts w:ascii="Times New Roman" w:hAnsi="Times New Roman"/>
        </w:rPr>
        <w:t>U izvještajnom razdoblju izdaci za financijsku imovinu, odnosno otplatu kredita</w:t>
      </w:r>
      <w:r w:rsidR="009416EF">
        <w:rPr>
          <w:rFonts w:ascii="Times New Roman" w:hAnsi="Times New Roman"/>
        </w:rPr>
        <w:t xml:space="preserve"> i zajmova</w:t>
      </w:r>
      <w:r w:rsidRPr="00AB2403">
        <w:rPr>
          <w:rFonts w:ascii="Times New Roman" w:hAnsi="Times New Roman"/>
        </w:rPr>
        <w:t xml:space="preserve"> iznosili su </w:t>
      </w:r>
      <w:r w:rsidR="00FD39FB">
        <w:rPr>
          <w:rFonts w:ascii="Times New Roman" w:hAnsi="Times New Roman"/>
        </w:rPr>
        <w:t>75.041,52</w:t>
      </w:r>
      <w:r>
        <w:rPr>
          <w:rFonts w:ascii="Times New Roman" w:hAnsi="Times New Roman"/>
        </w:rPr>
        <w:t xml:space="preserve"> EUR</w:t>
      </w:r>
      <w:r w:rsidRPr="00AB2403">
        <w:rPr>
          <w:rFonts w:ascii="Times New Roman" w:hAnsi="Times New Roman"/>
        </w:rPr>
        <w:t>. Primit</w:t>
      </w:r>
      <w:r>
        <w:rPr>
          <w:rFonts w:ascii="Times New Roman" w:hAnsi="Times New Roman"/>
        </w:rPr>
        <w:t>ci</w:t>
      </w:r>
      <w:r w:rsidRPr="00AB2403">
        <w:rPr>
          <w:rFonts w:ascii="Times New Roman" w:hAnsi="Times New Roman"/>
        </w:rPr>
        <w:t xml:space="preserve"> po osnovi </w:t>
      </w:r>
      <w:r>
        <w:rPr>
          <w:rFonts w:ascii="Times New Roman" w:hAnsi="Times New Roman"/>
        </w:rPr>
        <w:t>financijske imovine i zaduživanja</w:t>
      </w:r>
      <w:r w:rsidRPr="00AB2403">
        <w:rPr>
          <w:rFonts w:ascii="Times New Roman" w:hAnsi="Times New Roman"/>
        </w:rPr>
        <w:t xml:space="preserve"> u navedenom razdoblju </w:t>
      </w:r>
      <w:r>
        <w:rPr>
          <w:rFonts w:ascii="Times New Roman" w:hAnsi="Times New Roman"/>
        </w:rPr>
        <w:t xml:space="preserve">iznosili su </w:t>
      </w:r>
      <w:r w:rsidR="00FD39FB">
        <w:rPr>
          <w:rFonts w:ascii="Times New Roman" w:hAnsi="Times New Roman"/>
        </w:rPr>
        <w:t>3.812,91</w:t>
      </w:r>
      <w:r>
        <w:rPr>
          <w:rFonts w:ascii="Times New Roman" w:hAnsi="Times New Roman"/>
        </w:rPr>
        <w:t xml:space="preserve"> EUR</w:t>
      </w:r>
      <w:r w:rsidRPr="00AB2403">
        <w:rPr>
          <w:rFonts w:ascii="Times New Roman" w:hAnsi="Times New Roman"/>
        </w:rPr>
        <w:t xml:space="preserve">, što u konačnici rezultira manjkom računa financiranja u iznosu od </w:t>
      </w:r>
      <w:r w:rsidR="00FD39FB">
        <w:rPr>
          <w:rFonts w:ascii="Times New Roman" w:hAnsi="Times New Roman"/>
        </w:rPr>
        <w:t>71.228,61</w:t>
      </w:r>
      <w:r>
        <w:rPr>
          <w:rFonts w:ascii="Times New Roman" w:hAnsi="Times New Roman"/>
        </w:rPr>
        <w:t xml:space="preserve"> EUR</w:t>
      </w:r>
      <w:r w:rsidRPr="00AB2403">
        <w:rPr>
          <w:rFonts w:ascii="Times New Roman" w:hAnsi="Times New Roman"/>
        </w:rPr>
        <w:t xml:space="preserve">. </w:t>
      </w:r>
    </w:p>
    <w:p w14:paraId="4C088B06" w14:textId="77777777" w:rsidR="002F7056" w:rsidRPr="00AB2403" w:rsidRDefault="002F7056" w:rsidP="002F7056">
      <w:pPr>
        <w:spacing w:after="0" w:line="240" w:lineRule="auto"/>
        <w:jc w:val="both"/>
        <w:rPr>
          <w:rFonts w:ascii="Times New Roman" w:hAnsi="Times New Roman"/>
        </w:rPr>
      </w:pPr>
    </w:p>
    <w:p w14:paraId="7ECA3E7E" w14:textId="73051658" w:rsidR="002F7056" w:rsidRDefault="002F7056" w:rsidP="002F7056">
      <w:pPr>
        <w:pStyle w:val="ListParagraph"/>
        <w:numPr>
          <w:ilvl w:val="0"/>
          <w:numId w:val="2"/>
        </w:numPr>
        <w:spacing w:after="0" w:line="240" w:lineRule="auto"/>
        <w:jc w:val="both"/>
        <w:rPr>
          <w:rFonts w:ascii="Times New Roman" w:hAnsi="Times New Roman"/>
        </w:rPr>
      </w:pPr>
      <w:r w:rsidRPr="00793C60">
        <w:rPr>
          <w:rFonts w:ascii="Times New Roman" w:hAnsi="Times New Roman"/>
        </w:rPr>
        <w:t xml:space="preserve">Raspoloživa sredstva iz prethodnih godina iznose </w:t>
      </w:r>
      <w:r w:rsidR="00FD39FB">
        <w:rPr>
          <w:rFonts w:ascii="Times New Roman" w:hAnsi="Times New Roman"/>
          <w:bCs/>
        </w:rPr>
        <w:t>474.284,03</w:t>
      </w:r>
      <w:r w:rsidRPr="00793C60">
        <w:rPr>
          <w:rFonts w:ascii="Times New Roman" w:hAnsi="Times New Roman"/>
          <w:bCs/>
        </w:rPr>
        <w:t xml:space="preserve"> EUR</w:t>
      </w:r>
      <w:r w:rsidRPr="00793C60">
        <w:rPr>
          <w:rFonts w:ascii="Times New Roman" w:hAnsi="Times New Roman"/>
        </w:rPr>
        <w:t xml:space="preserve"> (višak prihoda i primitaka na dan 31. prosinca 202</w:t>
      </w:r>
      <w:r w:rsidR="00FD39FB">
        <w:rPr>
          <w:rFonts w:ascii="Times New Roman" w:hAnsi="Times New Roman"/>
        </w:rPr>
        <w:t>4</w:t>
      </w:r>
      <w:r w:rsidRPr="00793C60">
        <w:rPr>
          <w:rFonts w:ascii="Times New Roman" w:hAnsi="Times New Roman"/>
        </w:rPr>
        <w:t xml:space="preserve">. godine) </w:t>
      </w:r>
      <w:r w:rsidR="00FD39FB">
        <w:rPr>
          <w:rFonts w:ascii="Times New Roman" w:hAnsi="Times New Roman"/>
        </w:rPr>
        <w:t>umanjen za manjak</w:t>
      </w:r>
      <w:r w:rsidRPr="00793C60">
        <w:rPr>
          <w:rFonts w:ascii="Times New Roman" w:hAnsi="Times New Roman"/>
        </w:rPr>
        <w:t xml:space="preserve"> razdoblja (</w:t>
      </w:r>
      <w:r w:rsidR="009416EF">
        <w:rPr>
          <w:rFonts w:ascii="Times New Roman" w:hAnsi="Times New Roman"/>
        </w:rPr>
        <w:t>manjak u</w:t>
      </w:r>
      <w:r w:rsidR="00FD39FB">
        <w:rPr>
          <w:rFonts w:ascii="Times New Roman" w:hAnsi="Times New Roman"/>
        </w:rPr>
        <w:t xml:space="preserve"> 2025. godini</w:t>
      </w:r>
      <w:r w:rsidRPr="00793C60">
        <w:rPr>
          <w:rFonts w:ascii="Times New Roman" w:hAnsi="Times New Roman"/>
        </w:rPr>
        <w:t xml:space="preserve">) u iznosu od </w:t>
      </w:r>
      <w:r w:rsidR="00FD39FB">
        <w:rPr>
          <w:rFonts w:ascii="Times New Roman" w:hAnsi="Times New Roman"/>
        </w:rPr>
        <w:t>9.317,06</w:t>
      </w:r>
      <w:r w:rsidRPr="00793C60">
        <w:rPr>
          <w:rFonts w:ascii="Times New Roman" w:hAnsi="Times New Roman"/>
        </w:rPr>
        <w:t xml:space="preserve"> EUR čini preneseni višak prihoda i primitaka raspoloživ na dan </w:t>
      </w:r>
      <w:r w:rsidR="00FD39FB">
        <w:rPr>
          <w:rFonts w:ascii="Times New Roman" w:hAnsi="Times New Roman"/>
        </w:rPr>
        <w:t>01. siječanj 2026</w:t>
      </w:r>
      <w:r w:rsidRPr="00793C60">
        <w:rPr>
          <w:rFonts w:ascii="Times New Roman" w:hAnsi="Times New Roman"/>
        </w:rPr>
        <w:t xml:space="preserve">. godine u iznosu od </w:t>
      </w:r>
      <w:r w:rsidR="00FD39FB">
        <w:rPr>
          <w:rFonts w:ascii="Times New Roman" w:hAnsi="Times New Roman"/>
        </w:rPr>
        <w:t>464.966,97</w:t>
      </w:r>
      <w:r w:rsidRPr="00793C60">
        <w:rPr>
          <w:rFonts w:ascii="Times New Roman" w:hAnsi="Times New Roman"/>
        </w:rPr>
        <w:t xml:space="preserve"> EUR. </w:t>
      </w:r>
    </w:p>
    <w:p w14:paraId="279B56F2" w14:textId="77777777" w:rsidR="00FD39FB" w:rsidRPr="00FD39FB" w:rsidRDefault="00FD39FB" w:rsidP="00FD39FB">
      <w:pPr>
        <w:pStyle w:val="ListParagraph"/>
        <w:rPr>
          <w:rFonts w:ascii="Times New Roman" w:hAnsi="Times New Roman"/>
        </w:rPr>
      </w:pPr>
    </w:p>
    <w:p w14:paraId="60E40B88" w14:textId="2C80F4DE" w:rsidR="00FD39FB" w:rsidRPr="00793C60" w:rsidRDefault="00FD39FB" w:rsidP="002F7056">
      <w:pPr>
        <w:pStyle w:val="ListParagraph"/>
        <w:numPr>
          <w:ilvl w:val="0"/>
          <w:numId w:val="2"/>
        </w:numPr>
        <w:spacing w:after="0" w:line="240" w:lineRule="auto"/>
        <w:jc w:val="both"/>
        <w:rPr>
          <w:rFonts w:ascii="Times New Roman" w:hAnsi="Times New Roman"/>
        </w:rPr>
      </w:pPr>
      <w:r>
        <w:rPr>
          <w:rFonts w:ascii="Times New Roman" w:hAnsi="Times New Roman"/>
        </w:rPr>
        <w:t>Iznos od 97.537,47 EUR</w:t>
      </w:r>
      <w:r w:rsidR="009416EF">
        <w:rPr>
          <w:rFonts w:ascii="Times New Roman" w:hAnsi="Times New Roman"/>
        </w:rPr>
        <w:t>,</w:t>
      </w:r>
      <w:r>
        <w:rPr>
          <w:rFonts w:ascii="Times New Roman" w:hAnsi="Times New Roman"/>
        </w:rPr>
        <w:t xml:space="preserve"> </w:t>
      </w:r>
      <w:r w:rsidR="009416EF">
        <w:rPr>
          <w:rFonts w:ascii="Times New Roman" w:hAnsi="Times New Roman"/>
        </w:rPr>
        <w:t xml:space="preserve">dio </w:t>
      </w:r>
      <w:r>
        <w:rPr>
          <w:rFonts w:ascii="Times New Roman" w:hAnsi="Times New Roman"/>
        </w:rPr>
        <w:t>prenesenog viška iz 2024. godine utrošen je u 2025. godini.</w:t>
      </w:r>
    </w:p>
    <w:p w14:paraId="2FCC5565" w14:textId="77777777" w:rsidR="002F7056" w:rsidRDefault="002F7056" w:rsidP="002F7056">
      <w:pPr>
        <w:spacing w:after="0" w:line="240" w:lineRule="auto"/>
        <w:jc w:val="both"/>
        <w:rPr>
          <w:rFonts w:ascii="Times New Roman" w:hAnsi="Times New Roman"/>
          <w:color w:val="FF0000"/>
        </w:rPr>
      </w:pPr>
    </w:p>
    <w:p w14:paraId="4CF4D3A4" w14:textId="77777777" w:rsidR="002F7056" w:rsidRDefault="002F7056" w:rsidP="002F7056">
      <w:pPr>
        <w:spacing w:after="0" w:line="240" w:lineRule="auto"/>
        <w:jc w:val="both"/>
        <w:rPr>
          <w:rFonts w:ascii="Times New Roman" w:hAnsi="Times New Roman"/>
          <w:color w:val="FF0000"/>
        </w:rPr>
      </w:pPr>
    </w:p>
    <w:p w14:paraId="67680D26" w14:textId="77777777" w:rsidR="002F7056" w:rsidRPr="0051397B" w:rsidRDefault="002F7056" w:rsidP="002F7056">
      <w:pPr>
        <w:spacing w:after="0" w:line="240" w:lineRule="auto"/>
        <w:jc w:val="both"/>
        <w:rPr>
          <w:rFonts w:ascii="Times New Roman" w:hAnsi="Times New Roman"/>
          <w:color w:val="FF0000"/>
        </w:rPr>
      </w:pPr>
    </w:p>
    <w:p w14:paraId="1DCD4B17" w14:textId="77777777" w:rsidR="002F7056" w:rsidRDefault="002F7056" w:rsidP="002F7056">
      <w:pPr>
        <w:spacing w:after="0" w:line="240" w:lineRule="auto"/>
        <w:jc w:val="both"/>
        <w:rPr>
          <w:rFonts w:ascii="Times New Roman" w:hAnsi="Times New Roman"/>
        </w:rPr>
      </w:pPr>
    </w:p>
    <w:p w14:paraId="67C6747D" w14:textId="77777777" w:rsidR="002F7056" w:rsidRPr="000A7169" w:rsidRDefault="002F7056" w:rsidP="002F7056">
      <w:pPr>
        <w:shd w:val="clear" w:color="auto" w:fill="DBE5F1" w:themeFill="accent1" w:themeFillTint="33"/>
        <w:spacing w:after="0" w:line="240" w:lineRule="auto"/>
        <w:jc w:val="both"/>
        <w:rPr>
          <w:rFonts w:ascii="Times New Roman" w:hAnsi="Times New Roman"/>
          <w:b/>
          <w:bCs/>
        </w:rPr>
      </w:pPr>
      <w:r>
        <w:rPr>
          <w:rFonts w:ascii="Times New Roman" w:hAnsi="Times New Roman"/>
          <w:b/>
          <w:bCs/>
        </w:rPr>
        <w:t>2</w:t>
      </w:r>
      <w:r w:rsidRPr="000A7169">
        <w:rPr>
          <w:rFonts w:ascii="Times New Roman" w:hAnsi="Times New Roman"/>
          <w:b/>
          <w:bCs/>
        </w:rPr>
        <w:t>.1.1.</w:t>
      </w:r>
      <w:r>
        <w:rPr>
          <w:rFonts w:ascii="Times New Roman" w:hAnsi="Times New Roman"/>
          <w:b/>
          <w:bCs/>
        </w:rPr>
        <w:t xml:space="preserve"> </w:t>
      </w:r>
      <w:r w:rsidRPr="000A7169">
        <w:rPr>
          <w:rFonts w:ascii="Times New Roman" w:hAnsi="Times New Roman"/>
          <w:b/>
          <w:bCs/>
        </w:rPr>
        <w:t>Obrazloženje ostvarenja prihoda i primitaka</w:t>
      </w:r>
    </w:p>
    <w:p w14:paraId="436FD606" w14:textId="77777777" w:rsidR="002F7056" w:rsidRDefault="002F7056" w:rsidP="002F7056">
      <w:pPr>
        <w:spacing w:after="0" w:line="240" w:lineRule="auto"/>
        <w:jc w:val="both"/>
        <w:rPr>
          <w:rFonts w:ascii="Times New Roman" w:hAnsi="Times New Roman"/>
          <w:bCs/>
        </w:rPr>
      </w:pPr>
    </w:p>
    <w:p w14:paraId="34726C43" w14:textId="28DB6186" w:rsidR="002F7056" w:rsidRPr="00F85FBE" w:rsidRDefault="002F7056" w:rsidP="002F7056">
      <w:pPr>
        <w:spacing w:after="0" w:line="240" w:lineRule="auto"/>
        <w:jc w:val="both"/>
        <w:rPr>
          <w:rFonts w:ascii="Times New Roman" w:hAnsi="Times New Roman"/>
          <w:bCs/>
          <w:color w:val="FF0000"/>
        </w:rPr>
      </w:pPr>
      <w:r w:rsidRPr="00F85FBE">
        <w:rPr>
          <w:rFonts w:ascii="Times New Roman" w:hAnsi="Times New Roman"/>
          <w:bCs/>
        </w:rPr>
        <w:t xml:space="preserve">U razdoblju od 01. siječnja do </w:t>
      </w:r>
      <w:r w:rsidR="00B66CEC">
        <w:rPr>
          <w:rFonts w:ascii="Times New Roman" w:hAnsi="Times New Roman"/>
          <w:bCs/>
        </w:rPr>
        <w:t>31. prosinca</w:t>
      </w:r>
      <w:r w:rsidR="00FD39FB">
        <w:rPr>
          <w:rFonts w:ascii="Times New Roman" w:hAnsi="Times New Roman"/>
          <w:bCs/>
        </w:rPr>
        <w:t xml:space="preserve"> 2025</w:t>
      </w:r>
      <w:r w:rsidRPr="00F85FBE">
        <w:rPr>
          <w:rFonts w:ascii="Times New Roman" w:hAnsi="Times New Roman"/>
          <w:bCs/>
        </w:rPr>
        <w:t xml:space="preserve">. godine Općina Oprtalj ostvarila je ukupno prihoda poslovanja u iznosu od </w:t>
      </w:r>
      <w:r w:rsidR="00FD39FB">
        <w:rPr>
          <w:rFonts w:ascii="Times New Roman" w:hAnsi="Times New Roman"/>
          <w:bCs/>
        </w:rPr>
        <w:t>1.215.411,33</w:t>
      </w:r>
      <w:r>
        <w:rPr>
          <w:rFonts w:ascii="Times New Roman" w:hAnsi="Times New Roman"/>
          <w:bCs/>
        </w:rPr>
        <w:t xml:space="preserve"> EUR</w:t>
      </w:r>
      <w:r w:rsidRPr="00F85FBE">
        <w:rPr>
          <w:rFonts w:ascii="Times New Roman" w:hAnsi="Times New Roman"/>
          <w:bCs/>
        </w:rPr>
        <w:t xml:space="preserve"> i prihoda od prodaje nefinancijske imovine u iznosu od </w:t>
      </w:r>
      <w:r w:rsidR="00FD39FB">
        <w:rPr>
          <w:rFonts w:ascii="Times New Roman" w:hAnsi="Times New Roman"/>
          <w:bCs/>
        </w:rPr>
        <w:t>172.257,31</w:t>
      </w:r>
      <w:r>
        <w:rPr>
          <w:rFonts w:ascii="Times New Roman" w:hAnsi="Times New Roman"/>
          <w:bCs/>
        </w:rPr>
        <w:t xml:space="preserve"> EUR</w:t>
      </w:r>
      <w:r w:rsidRPr="00F85FBE">
        <w:rPr>
          <w:rFonts w:ascii="Times New Roman" w:hAnsi="Times New Roman"/>
          <w:bCs/>
        </w:rPr>
        <w:t>.</w:t>
      </w:r>
      <w:r w:rsidR="00581D8A">
        <w:rPr>
          <w:rFonts w:ascii="Times New Roman" w:hAnsi="Times New Roman"/>
          <w:bCs/>
        </w:rPr>
        <w:t xml:space="preserve"> Primici od zaduživanja realizirani su u iznosu od </w:t>
      </w:r>
      <w:r w:rsidR="00FD39FB">
        <w:rPr>
          <w:rFonts w:ascii="Times New Roman" w:hAnsi="Times New Roman"/>
          <w:bCs/>
        </w:rPr>
        <w:t>3.812,91</w:t>
      </w:r>
      <w:r w:rsidR="00581D8A">
        <w:rPr>
          <w:rFonts w:ascii="Times New Roman" w:hAnsi="Times New Roman"/>
          <w:bCs/>
        </w:rPr>
        <w:t xml:space="preserve"> EUR.</w:t>
      </w:r>
    </w:p>
    <w:p w14:paraId="24B01624" w14:textId="77777777" w:rsidR="002F7056" w:rsidRPr="00F85FBE" w:rsidRDefault="002F7056" w:rsidP="002F7056">
      <w:pPr>
        <w:spacing w:after="0" w:line="240" w:lineRule="auto"/>
        <w:ind w:right="70"/>
        <w:jc w:val="both"/>
        <w:rPr>
          <w:rFonts w:ascii="Times New Roman" w:hAnsi="Times New Roman"/>
        </w:rPr>
      </w:pPr>
    </w:p>
    <w:p w14:paraId="124E27B7" w14:textId="463B358D" w:rsidR="002F7056" w:rsidRPr="00F85FBE" w:rsidRDefault="002F7056" w:rsidP="002F7056">
      <w:pPr>
        <w:spacing w:after="0" w:line="240" w:lineRule="auto"/>
        <w:ind w:right="70"/>
        <w:jc w:val="both"/>
        <w:rPr>
          <w:rFonts w:ascii="Times New Roman" w:hAnsi="Times New Roman"/>
        </w:rPr>
      </w:pPr>
      <w:r w:rsidRPr="00F85FBE">
        <w:rPr>
          <w:rFonts w:ascii="Times New Roman" w:hAnsi="Times New Roman"/>
        </w:rPr>
        <w:t xml:space="preserve">U grafičkom prikazu broj 1. daje se pregled planiranih i ostvarenih prihoda i primitaka Proračuna Općine u </w:t>
      </w:r>
      <w:r w:rsidR="00FD39FB">
        <w:rPr>
          <w:rFonts w:ascii="Times New Roman" w:hAnsi="Times New Roman"/>
        </w:rPr>
        <w:t>2025</w:t>
      </w:r>
      <w:r w:rsidR="00B66CEC">
        <w:rPr>
          <w:rFonts w:ascii="Times New Roman" w:hAnsi="Times New Roman"/>
        </w:rPr>
        <w:t>. godini</w:t>
      </w:r>
      <w:r w:rsidRPr="00F85FBE">
        <w:rPr>
          <w:rFonts w:ascii="Times New Roman" w:hAnsi="Times New Roman"/>
        </w:rPr>
        <w:t xml:space="preserve"> s usporednim prikazom realizacije za isti period 202</w:t>
      </w:r>
      <w:r w:rsidR="00FD39FB">
        <w:rPr>
          <w:rFonts w:ascii="Times New Roman" w:hAnsi="Times New Roman"/>
        </w:rPr>
        <w:t>4</w:t>
      </w:r>
      <w:r w:rsidRPr="00F85FBE">
        <w:rPr>
          <w:rFonts w:ascii="Times New Roman" w:hAnsi="Times New Roman"/>
        </w:rPr>
        <w:t>. godine.</w:t>
      </w:r>
    </w:p>
    <w:p w14:paraId="5B5659A4" w14:textId="77777777" w:rsidR="002F7056" w:rsidRPr="00F85FBE" w:rsidRDefault="002F7056" w:rsidP="002F7056">
      <w:pPr>
        <w:spacing w:after="0" w:line="240" w:lineRule="auto"/>
        <w:ind w:right="70"/>
        <w:jc w:val="both"/>
        <w:rPr>
          <w:rFonts w:ascii="Times New Roman" w:hAnsi="Times New Roman"/>
        </w:rPr>
        <w:sectPr w:rsidR="002F7056" w:rsidRPr="00F85FBE" w:rsidSect="002F7056">
          <w:footerReference w:type="default" r:id="rId8"/>
          <w:pgSz w:w="11906" w:h="16838"/>
          <w:pgMar w:top="1418" w:right="1418" w:bottom="1418" w:left="1418" w:header="708" w:footer="708" w:gutter="0"/>
          <w:cols w:space="708"/>
          <w:docGrid w:linePitch="360"/>
        </w:sectPr>
      </w:pPr>
    </w:p>
    <w:p w14:paraId="0B6BC258" w14:textId="367BE851" w:rsidR="00E55F08" w:rsidRPr="003B2C80" w:rsidRDefault="001969EC" w:rsidP="00B41A12">
      <w:pPr>
        <w:spacing w:after="0"/>
        <w:jc w:val="both"/>
        <w:rPr>
          <w:rFonts w:ascii="Times New Roman" w:hAnsi="Times New Roman"/>
          <w:i/>
        </w:rPr>
      </w:pPr>
      <w:r w:rsidRPr="003B2C80">
        <w:rPr>
          <w:rFonts w:ascii="Times New Roman" w:hAnsi="Times New Roman"/>
          <w:b/>
        </w:rPr>
        <w:lastRenderedPageBreak/>
        <w:t>Grafikon broj 1</w:t>
      </w:r>
      <w:r w:rsidR="00B41A12" w:rsidRPr="003B2C80">
        <w:rPr>
          <w:rFonts w:ascii="Times New Roman" w:hAnsi="Times New Roman"/>
          <w:b/>
        </w:rPr>
        <w:t xml:space="preserve">.: </w:t>
      </w:r>
      <w:r w:rsidR="00B41A12" w:rsidRPr="003B2C80">
        <w:rPr>
          <w:rFonts w:ascii="Times New Roman" w:hAnsi="Times New Roman"/>
          <w:i/>
        </w:rPr>
        <w:t xml:space="preserve">Pregled planiranih i ostvarenih prihoda i primitaka Proračuna Općine </w:t>
      </w:r>
      <w:r w:rsidR="00F8349E" w:rsidRPr="003B2C80">
        <w:rPr>
          <w:rFonts w:ascii="Times New Roman" w:hAnsi="Times New Roman"/>
          <w:i/>
        </w:rPr>
        <w:t>Oprtalj</w:t>
      </w:r>
      <w:r w:rsidR="00B41A12" w:rsidRPr="003B2C80">
        <w:rPr>
          <w:rFonts w:ascii="Times New Roman" w:hAnsi="Times New Roman"/>
          <w:i/>
        </w:rPr>
        <w:t xml:space="preserve"> u</w:t>
      </w:r>
      <w:r w:rsidR="007624FF" w:rsidRPr="003B2C80">
        <w:rPr>
          <w:rFonts w:ascii="Times New Roman" w:hAnsi="Times New Roman"/>
          <w:i/>
        </w:rPr>
        <w:t xml:space="preserve"> </w:t>
      </w:r>
      <w:r w:rsidR="00FD39FB">
        <w:rPr>
          <w:rFonts w:ascii="Times New Roman" w:hAnsi="Times New Roman"/>
          <w:i/>
        </w:rPr>
        <w:t>2025</w:t>
      </w:r>
      <w:r w:rsidR="00B66CEC">
        <w:rPr>
          <w:rFonts w:ascii="Times New Roman" w:hAnsi="Times New Roman"/>
          <w:i/>
        </w:rPr>
        <w:t>. godini</w:t>
      </w:r>
      <w:r w:rsidR="00B41A12" w:rsidRPr="003B2C80">
        <w:rPr>
          <w:rFonts w:ascii="Times New Roman" w:hAnsi="Times New Roman"/>
          <w:i/>
        </w:rPr>
        <w:t xml:space="preserve"> s usporednim prikazom realizacije </w:t>
      </w:r>
      <w:r w:rsidR="00432BEF" w:rsidRPr="003B2C80">
        <w:rPr>
          <w:rFonts w:ascii="Times New Roman" w:hAnsi="Times New Roman"/>
          <w:i/>
        </w:rPr>
        <w:t xml:space="preserve">za isti period </w:t>
      </w:r>
      <w:r w:rsidR="007624FF" w:rsidRPr="003B2C80">
        <w:rPr>
          <w:rFonts w:ascii="Times New Roman" w:hAnsi="Times New Roman"/>
          <w:i/>
        </w:rPr>
        <w:t>20</w:t>
      </w:r>
      <w:r w:rsidR="00927DBF" w:rsidRPr="003B2C80">
        <w:rPr>
          <w:rFonts w:ascii="Times New Roman" w:hAnsi="Times New Roman"/>
          <w:i/>
        </w:rPr>
        <w:t>2</w:t>
      </w:r>
      <w:r w:rsidR="00FD39FB">
        <w:rPr>
          <w:rFonts w:ascii="Times New Roman" w:hAnsi="Times New Roman"/>
          <w:i/>
        </w:rPr>
        <w:t>4</w:t>
      </w:r>
      <w:r w:rsidR="00B41A12" w:rsidRPr="003B2C80">
        <w:rPr>
          <w:rFonts w:ascii="Times New Roman" w:hAnsi="Times New Roman"/>
          <w:i/>
        </w:rPr>
        <w:t>. godine.</w:t>
      </w:r>
    </w:p>
    <w:p w14:paraId="400B726D" w14:textId="1A2B08F3" w:rsidR="00432BEF" w:rsidRDefault="00FD39FB" w:rsidP="00BE1839">
      <w:pPr>
        <w:jc w:val="center"/>
        <w:rPr>
          <w:noProof/>
        </w:rPr>
      </w:pPr>
      <w:r>
        <w:rPr>
          <w:noProof/>
        </w:rPr>
        <w:drawing>
          <wp:inline distT="0" distB="0" distL="0" distR="0" wp14:anchorId="00031B56" wp14:editId="6EE9DA20">
            <wp:extent cx="9229725" cy="5286375"/>
            <wp:effectExtent l="0" t="0" r="9525" b="9525"/>
            <wp:docPr id="2" name="Chart 2" title="Usporedni prikaz prihoda od imovine u I. Izmjenama i dopunama proračuna u odnosu na Plan proračuna">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318BE1" w14:textId="77777777" w:rsidR="00E40B71" w:rsidRDefault="00E40B71" w:rsidP="00E40B71">
      <w:pPr>
        <w:rPr>
          <w:rFonts w:ascii="Times New Roman" w:hAnsi="Times New Roman"/>
          <w:sz w:val="20"/>
          <w:szCs w:val="20"/>
        </w:rPr>
        <w:sectPr w:rsidR="00E40B71" w:rsidSect="00E40B71">
          <w:footerReference w:type="default" r:id="rId10"/>
          <w:pgSz w:w="16838" w:h="11906" w:orient="landscape"/>
          <w:pgMar w:top="1418" w:right="1418" w:bottom="1418" w:left="1418" w:header="709" w:footer="709" w:gutter="0"/>
          <w:cols w:space="708"/>
          <w:docGrid w:linePitch="360"/>
        </w:sectPr>
      </w:pPr>
    </w:p>
    <w:p w14:paraId="11CFE6C5" w14:textId="57FE4BA7" w:rsidR="00B41A12" w:rsidRPr="007E761E" w:rsidRDefault="00B41A12" w:rsidP="00B41A12">
      <w:pPr>
        <w:pStyle w:val="BodyText"/>
        <w:rPr>
          <w:rFonts w:ascii="Times New Roman" w:hAnsi="Times New Roman" w:cs="Times New Roman"/>
          <w:sz w:val="22"/>
          <w:szCs w:val="22"/>
        </w:rPr>
      </w:pPr>
      <w:r w:rsidRPr="007E761E">
        <w:rPr>
          <w:rFonts w:ascii="Times New Roman" w:hAnsi="Times New Roman" w:cs="Times New Roman"/>
          <w:sz w:val="22"/>
          <w:szCs w:val="22"/>
        </w:rPr>
        <w:lastRenderedPageBreak/>
        <w:t xml:space="preserve">Iz gore prikazane tablice proizlazi da najveći udio u </w:t>
      </w:r>
      <w:r w:rsidR="006C1A01" w:rsidRPr="007E761E">
        <w:rPr>
          <w:rFonts w:ascii="Times New Roman" w:hAnsi="Times New Roman" w:cs="Times New Roman"/>
          <w:sz w:val="22"/>
          <w:szCs w:val="22"/>
        </w:rPr>
        <w:t xml:space="preserve">realizaciji </w:t>
      </w:r>
      <w:r w:rsidRPr="007E761E">
        <w:rPr>
          <w:rFonts w:ascii="Times New Roman" w:hAnsi="Times New Roman" w:cs="Times New Roman"/>
          <w:sz w:val="22"/>
          <w:szCs w:val="22"/>
        </w:rPr>
        <w:t xml:space="preserve">prihoda </w:t>
      </w:r>
      <w:r w:rsidR="0074397A">
        <w:rPr>
          <w:rFonts w:ascii="Times New Roman" w:hAnsi="Times New Roman" w:cs="Times New Roman"/>
          <w:sz w:val="22"/>
          <w:szCs w:val="22"/>
        </w:rPr>
        <w:t xml:space="preserve">i primitaka </w:t>
      </w:r>
      <w:r w:rsidRPr="007E761E">
        <w:rPr>
          <w:rFonts w:ascii="Times New Roman" w:hAnsi="Times New Roman" w:cs="Times New Roman"/>
          <w:sz w:val="22"/>
          <w:szCs w:val="22"/>
        </w:rPr>
        <w:t xml:space="preserve">sačinjavaju prihodi </w:t>
      </w:r>
      <w:r w:rsidR="00064F00" w:rsidRPr="007E761E">
        <w:rPr>
          <w:rFonts w:ascii="Times New Roman" w:hAnsi="Times New Roman" w:cs="Times New Roman"/>
          <w:sz w:val="22"/>
          <w:szCs w:val="22"/>
        </w:rPr>
        <w:t xml:space="preserve">od </w:t>
      </w:r>
      <w:r w:rsidR="007003D3">
        <w:rPr>
          <w:rFonts w:ascii="Times New Roman" w:hAnsi="Times New Roman" w:cs="Times New Roman"/>
          <w:sz w:val="22"/>
          <w:szCs w:val="22"/>
        </w:rPr>
        <w:t>poreza</w:t>
      </w:r>
      <w:r w:rsidR="00CC604F" w:rsidRPr="007E761E">
        <w:rPr>
          <w:rFonts w:ascii="Times New Roman" w:hAnsi="Times New Roman" w:cs="Times New Roman"/>
          <w:sz w:val="22"/>
          <w:szCs w:val="22"/>
        </w:rPr>
        <w:t>, odnosno</w:t>
      </w:r>
      <w:r w:rsidRPr="007E761E">
        <w:rPr>
          <w:rFonts w:ascii="Times New Roman" w:hAnsi="Times New Roman" w:cs="Times New Roman"/>
          <w:sz w:val="22"/>
          <w:szCs w:val="22"/>
        </w:rPr>
        <w:t xml:space="preserve"> </w:t>
      </w:r>
      <w:r w:rsidR="00E44B9D">
        <w:rPr>
          <w:rFonts w:ascii="Times New Roman" w:hAnsi="Times New Roman" w:cs="Times New Roman"/>
          <w:sz w:val="22"/>
          <w:szCs w:val="22"/>
        </w:rPr>
        <w:t>42,39</w:t>
      </w:r>
      <w:r w:rsidRPr="007E761E">
        <w:rPr>
          <w:rFonts w:ascii="Times New Roman" w:hAnsi="Times New Roman" w:cs="Times New Roman"/>
          <w:sz w:val="22"/>
          <w:szCs w:val="22"/>
        </w:rPr>
        <w:t xml:space="preserve"> % ukupnih prihoda</w:t>
      </w:r>
      <w:r w:rsidR="0074397A">
        <w:rPr>
          <w:rFonts w:ascii="Times New Roman" w:hAnsi="Times New Roman" w:cs="Times New Roman"/>
          <w:sz w:val="22"/>
          <w:szCs w:val="22"/>
        </w:rPr>
        <w:t xml:space="preserve"> i primitaka</w:t>
      </w:r>
      <w:r w:rsidRPr="007E761E">
        <w:rPr>
          <w:rFonts w:ascii="Times New Roman" w:hAnsi="Times New Roman" w:cs="Times New Roman"/>
          <w:sz w:val="22"/>
          <w:szCs w:val="22"/>
        </w:rPr>
        <w:t xml:space="preserve">. </w:t>
      </w:r>
    </w:p>
    <w:p w14:paraId="6FD4D799" w14:textId="77777777" w:rsidR="00B41A12" w:rsidRPr="007E761E" w:rsidRDefault="00B41A12" w:rsidP="00B41A12">
      <w:pPr>
        <w:pStyle w:val="BodyText"/>
        <w:rPr>
          <w:rFonts w:ascii="Times New Roman" w:hAnsi="Times New Roman" w:cs="Times New Roman"/>
          <w:sz w:val="22"/>
          <w:szCs w:val="22"/>
        </w:rPr>
      </w:pPr>
    </w:p>
    <w:p w14:paraId="53600616" w14:textId="77777777" w:rsidR="00432BEF" w:rsidRDefault="00432BEF" w:rsidP="00432BEF">
      <w:pPr>
        <w:pStyle w:val="BodyText"/>
        <w:rPr>
          <w:rFonts w:ascii="Times New Roman" w:hAnsi="Times New Roman" w:cs="Times New Roman"/>
          <w:sz w:val="22"/>
          <w:szCs w:val="22"/>
        </w:rPr>
      </w:pPr>
      <w:r w:rsidRPr="007E761E">
        <w:rPr>
          <w:rFonts w:ascii="Times New Roman" w:hAnsi="Times New Roman" w:cs="Times New Roman"/>
          <w:b/>
          <w:i/>
          <w:sz w:val="22"/>
          <w:szCs w:val="22"/>
          <w:u w:val="single"/>
        </w:rPr>
        <w:t>Prihodi od poreza</w:t>
      </w:r>
      <w:r w:rsidRPr="007E761E">
        <w:rPr>
          <w:rFonts w:ascii="Times New Roman" w:hAnsi="Times New Roman" w:cs="Times New Roman"/>
          <w:b/>
          <w:sz w:val="22"/>
          <w:szCs w:val="22"/>
        </w:rPr>
        <w:t xml:space="preserve"> (61)</w:t>
      </w:r>
      <w:r w:rsidRPr="007E761E">
        <w:rPr>
          <w:rFonts w:ascii="Times New Roman" w:hAnsi="Times New Roman" w:cs="Times New Roman"/>
          <w:sz w:val="22"/>
          <w:szCs w:val="22"/>
        </w:rPr>
        <w:t xml:space="preserve"> obuhvaćaju porez na dohodak od nesamostalnoga rada (porez na plaće zaposlenih osoba sa sjedištem na području Općine Oprtalj), porez na dohodak od samostalnih djelatnosti (obrta), porez na dohodak od imovine, udjela u dobiti i sl. 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porezi na kuće koji plaćaju vlasnici na drugu kuću odnosno na kuću koju povremeno koriste, a sve sukladno Odluci o općinskim porezima.</w:t>
      </w:r>
    </w:p>
    <w:p w14:paraId="2BCB8E08" w14:textId="77777777" w:rsidR="00E44B9D" w:rsidRPr="00A01A90" w:rsidRDefault="00E44B9D" w:rsidP="00E44B9D">
      <w:pPr>
        <w:pStyle w:val="BodyText"/>
        <w:rPr>
          <w:rFonts w:ascii="Times New Roman" w:hAnsi="Times New Roman"/>
          <w:sz w:val="22"/>
          <w:szCs w:val="22"/>
        </w:rPr>
      </w:pPr>
      <w:r w:rsidRPr="00A01A90">
        <w:rPr>
          <w:rFonts w:ascii="Times New Roman" w:hAnsi="Times New Roman" w:cs="Times New Roman"/>
          <w:sz w:val="22"/>
          <w:szCs w:val="22"/>
        </w:rPr>
        <w:t xml:space="preserve">Od 01. siječnja 2025. godine uvodi se i porez na nekretnine. Porez na nekretnine utvrđuje se u skladu sa Zakonom o lokalnim porezima te odlukama o gradskim i općinskim porezima. Porez na nekretnine uveden je 1. siječnja 2025. kao zamjena za porez na kuće za odmor. </w:t>
      </w:r>
      <w:r w:rsidRPr="00A01A90">
        <w:rPr>
          <w:rFonts w:ascii="Times New Roman" w:hAnsi="Times New Roman"/>
          <w:sz w:val="22"/>
          <w:szCs w:val="22"/>
        </w:rPr>
        <w:t>Porez na nekretnine na području Općine Oprtalj plaća se godišnje u visini od 6,25 eura/m</w:t>
      </w:r>
      <w:r w:rsidRPr="00A01A90">
        <w:rPr>
          <w:rFonts w:ascii="Times New Roman" w:hAnsi="Times New Roman"/>
          <w:sz w:val="22"/>
          <w:szCs w:val="22"/>
          <w:vertAlign w:val="superscript"/>
        </w:rPr>
        <w:t>2</w:t>
      </w:r>
      <w:r w:rsidRPr="00A01A90">
        <w:rPr>
          <w:rFonts w:ascii="Times New Roman" w:hAnsi="Times New Roman"/>
          <w:sz w:val="22"/>
          <w:szCs w:val="22"/>
        </w:rPr>
        <w:t xml:space="preserve"> korisne površine nekretnine.</w:t>
      </w:r>
    </w:p>
    <w:p w14:paraId="25D65D6D" w14:textId="77777777" w:rsidR="00064F00" w:rsidRPr="007E761E" w:rsidRDefault="00064F00" w:rsidP="00B41A12">
      <w:pPr>
        <w:pStyle w:val="BodyText"/>
        <w:rPr>
          <w:rFonts w:ascii="Times New Roman" w:hAnsi="Times New Roman" w:cs="Times New Roman"/>
          <w:sz w:val="22"/>
          <w:szCs w:val="22"/>
        </w:rPr>
      </w:pPr>
    </w:p>
    <w:p w14:paraId="2BCAD380" w14:textId="7BEDB267" w:rsidR="00064F00" w:rsidRPr="007E761E" w:rsidRDefault="00064F00" w:rsidP="00B41A12">
      <w:pPr>
        <w:pStyle w:val="BodyText"/>
        <w:rPr>
          <w:rFonts w:ascii="Times New Roman" w:hAnsi="Times New Roman" w:cs="Times New Roman"/>
          <w:sz w:val="22"/>
          <w:szCs w:val="22"/>
        </w:rPr>
      </w:pPr>
      <w:r w:rsidRPr="007E761E">
        <w:rPr>
          <w:rFonts w:ascii="Times New Roman" w:hAnsi="Times New Roman" w:cs="Times New Roman"/>
          <w:sz w:val="22"/>
          <w:szCs w:val="22"/>
        </w:rPr>
        <w:t xml:space="preserve">U nastavku daje se grafički prikaz realizacije prihoda od poreza u razdoblju od 01. siječnja do </w:t>
      </w:r>
      <w:r w:rsidR="007003D3">
        <w:rPr>
          <w:rFonts w:ascii="Times New Roman" w:hAnsi="Times New Roman" w:cs="Times New Roman"/>
          <w:sz w:val="22"/>
          <w:szCs w:val="22"/>
        </w:rPr>
        <w:t>31. prosinca</w:t>
      </w:r>
      <w:r w:rsidR="007972AF" w:rsidRPr="007E761E">
        <w:rPr>
          <w:rFonts w:ascii="Times New Roman" w:hAnsi="Times New Roman" w:cs="Times New Roman"/>
          <w:sz w:val="22"/>
          <w:szCs w:val="22"/>
        </w:rPr>
        <w:t xml:space="preserve"> 20</w:t>
      </w:r>
      <w:r w:rsidR="006C1A01" w:rsidRPr="007E761E">
        <w:rPr>
          <w:rFonts w:ascii="Times New Roman" w:hAnsi="Times New Roman" w:cs="Times New Roman"/>
          <w:sz w:val="22"/>
          <w:szCs w:val="22"/>
        </w:rPr>
        <w:t>2</w:t>
      </w:r>
      <w:r w:rsidR="00065D53">
        <w:rPr>
          <w:rFonts w:ascii="Times New Roman" w:hAnsi="Times New Roman" w:cs="Times New Roman"/>
          <w:sz w:val="22"/>
          <w:szCs w:val="22"/>
        </w:rPr>
        <w:t>5</w:t>
      </w:r>
      <w:r w:rsidRPr="007E761E">
        <w:rPr>
          <w:rFonts w:ascii="Times New Roman" w:hAnsi="Times New Roman" w:cs="Times New Roman"/>
          <w:sz w:val="22"/>
          <w:szCs w:val="22"/>
        </w:rPr>
        <w:t>. g</w:t>
      </w:r>
      <w:r w:rsidR="001B565E" w:rsidRPr="007E761E">
        <w:rPr>
          <w:rFonts w:ascii="Times New Roman" w:hAnsi="Times New Roman" w:cs="Times New Roman"/>
          <w:sz w:val="22"/>
          <w:szCs w:val="22"/>
        </w:rPr>
        <w:t>odine u odnosu na prethodnu 20</w:t>
      </w:r>
      <w:r w:rsidR="00A96A87" w:rsidRPr="007E761E">
        <w:rPr>
          <w:rFonts w:ascii="Times New Roman" w:hAnsi="Times New Roman" w:cs="Times New Roman"/>
          <w:sz w:val="22"/>
          <w:szCs w:val="22"/>
        </w:rPr>
        <w:t>2</w:t>
      </w:r>
      <w:r w:rsidR="00065D53">
        <w:rPr>
          <w:rFonts w:ascii="Times New Roman" w:hAnsi="Times New Roman" w:cs="Times New Roman"/>
          <w:sz w:val="22"/>
          <w:szCs w:val="22"/>
        </w:rPr>
        <w:t>4</w:t>
      </w:r>
      <w:r w:rsidRPr="007E761E">
        <w:rPr>
          <w:rFonts w:ascii="Times New Roman" w:hAnsi="Times New Roman" w:cs="Times New Roman"/>
          <w:sz w:val="22"/>
          <w:szCs w:val="22"/>
        </w:rPr>
        <w:t>. godinu.</w:t>
      </w:r>
    </w:p>
    <w:p w14:paraId="1F20921F" w14:textId="77777777" w:rsidR="00AF730E" w:rsidRPr="007E761E" w:rsidRDefault="00AF730E" w:rsidP="00B41A12">
      <w:pPr>
        <w:pStyle w:val="BodyText"/>
        <w:rPr>
          <w:rFonts w:ascii="Times New Roman" w:hAnsi="Times New Roman" w:cs="Times New Roman"/>
          <w:sz w:val="22"/>
          <w:szCs w:val="22"/>
        </w:rPr>
      </w:pPr>
    </w:p>
    <w:p w14:paraId="3F9260B7" w14:textId="08EA9AFE" w:rsidR="007972AF" w:rsidRPr="007E761E" w:rsidRDefault="001B565E" w:rsidP="007972AF">
      <w:pPr>
        <w:pStyle w:val="BodyText"/>
        <w:rPr>
          <w:rFonts w:ascii="Times New Roman" w:hAnsi="Times New Roman" w:cs="Times New Roman"/>
          <w:sz w:val="22"/>
          <w:szCs w:val="22"/>
        </w:rPr>
      </w:pPr>
      <w:r w:rsidRPr="007E761E">
        <w:rPr>
          <w:rFonts w:ascii="Times New Roman" w:hAnsi="Times New Roman" w:cs="Times New Roman"/>
          <w:b/>
          <w:i/>
          <w:sz w:val="22"/>
          <w:szCs w:val="22"/>
        </w:rPr>
        <w:t>Grafikon broj 2</w:t>
      </w:r>
      <w:r w:rsidR="00AF730E" w:rsidRPr="007E761E">
        <w:rPr>
          <w:rFonts w:ascii="Times New Roman" w:hAnsi="Times New Roman" w:cs="Times New Roman"/>
          <w:b/>
          <w:i/>
          <w:sz w:val="22"/>
          <w:szCs w:val="22"/>
        </w:rPr>
        <w:t>.:</w:t>
      </w:r>
      <w:r w:rsidR="00AF730E" w:rsidRPr="007E761E">
        <w:rPr>
          <w:rFonts w:ascii="Times New Roman" w:hAnsi="Times New Roman" w:cs="Times New Roman"/>
          <w:sz w:val="22"/>
          <w:szCs w:val="22"/>
        </w:rPr>
        <w:t xml:space="preserve"> </w:t>
      </w:r>
      <w:r w:rsidR="00AF730E" w:rsidRPr="007E761E">
        <w:rPr>
          <w:rFonts w:ascii="Times New Roman" w:hAnsi="Times New Roman" w:cs="Times New Roman"/>
          <w:bCs/>
          <w:sz w:val="22"/>
          <w:szCs w:val="22"/>
        </w:rPr>
        <w:t xml:space="preserve">Usporedni prikaz realizacije prihoda od poreza u razdoblju </w:t>
      </w:r>
      <w:r w:rsidR="00AF730E" w:rsidRPr="007E761E">
        <w:rPr>
          <w:rFonts w:ascii="Times New Roman" w:hAnsi="Times New Roman" w:cs="Times New Roman"/>
          <w:sz w:val="22"/>
          <w:szCs w:val="22"/>
        </w:rPr>
        <w:t xml:space="preserve"> </w:t>
      </w:r>
      <w:r w:rsidR="00AF730E" w:rsidRPr="007E761E">
        <w:rPr>
          <w:rFonts w:ascii="Times New Roman" w:hAnsi="Times New Roman"/>
          <w:bCs/>
          <w:sz w:val="22"/>
          <w:szCs w:val="22"/>
        </w:rPr>
        <w:t xml:space="preserve">od 01. siječnja do </w:t>
      </w:r>
      <w:r w:rsidR="007003D3">
        <w:rPr>
          <w:rFonts w:ascii="Times New Roman" w:hAnsi="Times New Roman" w:cs="Times New Roman"/>
          <w:sz w:val="22"/>
          <w:szCs w:val="22"/>
        </w:rPr>
        <w:t>31. prosinca</w:t>
      </w:r>
      <w:r w:rsidR="007972AF" w:rsidRPr="007E761E">
        <w:rPr>
          <w:rFonts w:ascii="Times New Roman" w:hAnsi="Times New Roman" w:cs="Times New Roman"/>
          <w:sz w:val="22"/>
          <w:szCs w:val="22"/>
        </w:rPr>
        <w:t xml:space="preserve"> 20</w:t>
      </w:r>
      <w:r w:rsidR="006C1A01" w:rsidRPr="007E761E">
        <w:rPr>
          <w:rFonts w:ascii="Times New Roman" w:hAnsi="Times New Roman" w:cs="Times New Roman"/>
          <w:sz w:val="22"/>
          <w:szCs w:val="22"/>
        </w:rPr>
        <w:t>2</w:t>
      </w:r>
      <w:r w:rsidR="00E44B9D">
        <w:rPr>
          <w:rFonts w:ascii="Times New Roman" w:hAnsi="Times New Roman" w:cs="Times New Roman"/>
          <w:sz w:val="22"/>
          <w:szCs w:val="22"/>
        </w:rPr>
        <w:t>5</w:t>
      </w:r>
      <w:r w:rsidR="007972AF" w:rsidRPr="007E761E">
        <w:rPr>
          <w:rFonts w:ascii="Times New Roman" w:hAnsi="Times New Roman" w:cs="Times New Roman"/>
          <w:sz w:val="22"/>
          <w:szCs w:val="22"/>
        </w:rPr>
        <w:t>. godine u odnosu na prethodnu 20</w:t>
      </w:r>
      <w:r w:rsidR="00A96A87" w:rsidRPr="007E761E">
        <w:rPr>
          <w:rFonts w:ascii="Times New Roman" w:hAnsi="Times New Roman" w:cs="Times New Roman"/>
          <w:sz w:val="22"/>
          <w:szCs w:val="22"/>
        </w:rPr>
        <w:t>2</w:t>
      </w:r>
      <w:r w:rsidR="00E44B9D">
        <w:rPr>
          <w:rFonts w:ascii="Times New Roman" w:hAnsi="Times New Roman" w:cs="Times New Roman"/>
          <w:sz w:val="22"/>
          <w:szCs w:val="22"/>
        </w:rPr>
        <w:t>4</w:t>
      </w:r>
      <w:r w:rsidR="007972AF" w:rsidRPr="007E761E">
        <w:rPr>
          <w:rFonts w:ascii="Times New Roman" w:hAnsi="Times New Roman" w:cs="Times New Roman"/>
          <w:sz w:val="22"/>
          <w:szCs w:val="22"/>
        </w:rPr>
        <w:t>. godinu.</w:t>
      </w:r>
    </w:p>
    <w:p w14:paraId="6D9521D2" w14:textId="77777777" w:rsidR="007972AF" w:rsidRDefault="007972AF" w:rsidP="007972AF">
      <w:pPr>
        <w:pStyle w:val="BodyText"/>
        <w:rPr>
          <w:rFonts w:ascii="Times New Roman" w:hAnsi="Times New Roman" w:cs="Times New Roman"/>
        </w:rPr>
      </w:pPr>
    </w:p>
    <w:p w14:paraId="0D3F7139" w14:textId="4A9BBE41" w:rsidR="001B565E" w:rsidRDefault="003B41AF" w:rsidP="007972AF">
      <w:pPr>
        <w:pStyle w:val="BodyText"/>
        <w:jc w:val="left"/>
        <w:rPr>
          <w:rFonts w:ascii="Times New Roman" w:hAnsi="Times New Roman" w:cs="Times New Roman"/>
        </w:rPr>
      </w:pPr>
      <w:r>
        <w:rPr>
          <w:noProof/>
          <w:lang w:eastAsia="hr-HR"/>
        </w:rPr>
        <w:drawing>
          <wp:inline distT="0" distB="0" distL="0" distR="0" wp14:anchorId="53DE9A74" wp14:editId="43E6C865">
            <wp:extent cx="5695950" cy="5248275"/>
            <wp:effectExtent l="0" t="0" r="0" b="9525"/>
            <wp:docPr id="4" name="Chart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89B1CB" w14:textId="31C9CF9A" w:rsidR="00065D53" w:rsidRDefault="00065D53" w:rsidP="00065D53">
      <w:pPr>
        <w:autoSpaceDE w:val="0"/>
        <w:autoSpaceDN w:val="0"/>
        <w:adjustRightInd w:val="0"/>
        <w:spacing w:after="0" w:line="240" w:lineRule="auto"/>
        <w:jc w:val="both"/>
        <w:rPr>
          <w:rFonts w:ascii="Times New Roman" w:hAnsi="Times New Roman"/>
          <w:bCs/>
          <w:iCs/>
        </w:rPr>
      </w:pPr>
      <w:r>
        <w:rPr>
          <w:rFonts w:ascii="Times New Roman" w:hAnsi="Times New Roman"/>
          <w:bCs/>
          <w:iCs/>
        </w:rPr>
        <w:lastRenderedPageBreak/>
        <w:t xml:space="preserve">U </w:t>
      </w:r>
      <w:r w:rsidR="003B41AF">
        <w:rPr>
          <w:rFonts w:ascii="Times New Roman" w:hAnsi="Times New Roman"/>
          <w:bCs/>
          <w:iCs/>
        </w:rPr>
        <w:t>2025. godini</w:t>
      </w:r>
      <w:r>
        <w:rPr>
          <w:rFonts w:ascii="Times New Roman" w:hAnsi="Times New Roman"/>
          <w:bCs/>
          <w:iCs/>
        </w:rPr>
        <w:t xml:space="preserve"> realizirano je ukupno </w:t>
      </w:r>
      <w:r w:rsidR="003B41AF">
        <w:rPr>
          <w:rFonts w:ascii="Times New Roman" w:hAnsi="Times New Roman"/>
          <w:bCs/>
          <w:iCs/>
        </w:rPr>
        <w:t>589.874,69</w:t>
      </w:r>
      <w:r>
        <w:rPr>
          <w:rFonts w:ascii="Times New Roman" w:hAnsi="Times New Roman"/>
          <w:bCs/>
          <w:iCs/>
        </w:rPr>
        <w:t xml:space="preserve"> EUR prihoda od poreza što je za </w:t>
      </w:r>
      <w:r w:rsidR="00FE6361">
        <w:rPr>
          <w:rFonts w:ascii="Times New Roman" w:hAnsi="Times New Roman"/>
          <w:bCs/>
          <w:iCs/>
        </w:rPr>
        <w:t>20,96</w:t>
      </w:r>
      <w:r w:rsidR="003B41AF">
        <w:rPr>
          <w:rFonts w:ascii="Times New Roman" w:hAnsi="Times New Roman"/>
          <w:bCs/>
          <w:iCs/>
        </w:rPr>
        <w:t xml:space="preserve"> %</w:t>
      </w:r>
      <w:r>
        <w:rPr>
          <w:rFonts w:ascii="Times New Roman" w:hAnsi="Times New Roman"/>
          <w:bCs/>
          <w:iCs/>
        </w:rPr>
        <w:t xml:space="preserve"> EUR više od usporednog izvještajnog razdoblja 2024. godine.</w:t>
      </w:r>
    </w:p>
    <w:p w14:paraId="3E76BBA5" w14:textId="77777777" w:rsidR="00065D53" w:rsidRDefault="00065D53" w:rsidP="00065D53">
      <w:pPr>
        <w:autoSpaceDE w:val="0"/>
        <w:autoSpaceDN w:val="0"/>
        <w:adjustRightInd w:val="0"/>
        <w:spacing w:after="0" w:line="240" w:lineRule="auto"/>
        <w:jc w:val="both"/>
        <w:rPr>
          <w:rFonts w:ascii="Times New Roman" w:hAnsi="Times New Roman"/>
          <w:bCs/>
          <w:iCs/>
        </w:rPr>
      </w:pPr>
    </w:p>
    <w:p w14:paraId="6C098F5E" w14:textId="486DC01A" w:rsidR="00065D53" w:rsidRDefault="00065D53" w:rsidP="00065D53">
      <w:pPr>
        <w:autoSpaceDE w:val="0"/>
        <w:autoSpaceDN w:val="0"/>
        <w:adjustRightInd w:val="0"/>
        <w:spacing w:after="0" w:line="240" w:lineRule="auto"/>
        <w:jc w:val="both"/>
        <w:rPr>
          <w:rFonts w:ascii="Times New Roman" w:hAnsi="Times New Roman"/>
          <w:bCs/>
          <w:iCs/>
        </w:rPr>
      </w:pPr>
      <w:r>
        <w:rPr>
          <w:rFonts w:ascii="Times New Roman" w:hAnsi="Times New Roman"/>
          <w:bCs/>
          <w:iCs/>
        </w:rPr>
        <w:t xml:space="preserve">Iznos od poreza na dohodak realiziran je u </w:t>
      </w:r>
      <w:r w:rsidR="003B41AF">
        <w:rPr>
          <w:rFonts w:ascii="Times New Roman" w:hAnsi="Times New Roman"/>
          <w:bCs/>
          <w:iCs/>
        </w:rPr>
        <w:t>2025. godini</w:t>
      </w:r>
      <w:r>
        <w:rPr>
          <w:rFonts w:ascii="Times New Roman" w:hAnsi="Times New Roman"/>
          <w:bCs/>
          <w:iCs/>
        </w:rPr>
        <w:t xml:space="preserve"> u iznosu od </w:t>
      </w:r>
      <w:r w:rsidR="003B41AF">
        <w:rPr>
          <w:rFonts w:ascii="Times New Roman" w:hAnsi="Times New Roman"/>
          <w:bCs/>
          <w:iCs/>
        </w:rPr>
        <w:t>338.643,47</w:t>
      </w:r>
      <w:r>
        <w:rPr>
          <w:rFonts w:ascii="Times New Roman" w:hAnsi="Times New Roman"/>
          <w:bCs/>
          <w:iCs/>
        </w:rPr>
        <w:t xml:space="preserve"> EUR što je za </w:t>
      </w:r>
      <w:r w:rsidR="003B41AF">
        <w:rPr>
          <w:rFonts w:ascii="Times New Roman" w:hAnsi="Times New Roman"/>
          <w:bCs/>
          <w:iCs/>
        </w:rPr>
        <w:t>70.969,83</w:t>
      </w:r>
      <w:r>
        <w:rPr>
          <w:rFonts w:ascii="Times New Roman" w:hAnsi="Times New Roman"/>
          <w:bCs/>
          <w:iCs/>
        </w:rPr>
        <w:t xml:space="preserve"> EUR više od usporednog izvještajnog razdoblja 2024. godine. </w:t>
      </w:r>
    </w:p>
    <w:p w14:paraId="45CDEE9A" w14:textId="51E9197C" w:rsidR="00065D53" w:rsidRDefault="00065D53" w:rsidP="00065D53">
      <w:pPr>
        <w:autoSpaceDE w:val="0"/>
        <w:autoSpaceDN w:val="0"/>
        <w:adjustRightInd w:val="0"/>
        <w:spacing w:after="0" w:line="240" w:lineRule="auto"/>
        <w:jc w:val="both"/>
        <w:rPr>
          <w:rFonts w:ascii="Times New Roman" w:hAnsi="Times New Roman"/>
          <w:bCs/>
          <w:iCs/>
        </w:rPr>
      </w:pPr>
      <w:r>
        <w:rPr>
          <w:rFonts w:ascii="Times New Roman" w:hAnsi="Times New Roman"/>
          <w:bCs/>
          <w:iCs/>
        </w:rPr>
        <w:t xml:space="preserve">Realizacija poreza na kuće za odmor bilježi značajniji pad u tekućem izvještajnom razdoblju zbog uvođenja poreza na nekretnine. U 2025. i daljnjim godinama očekuje se realizacija prihoda od poreza na kuće za odmor od naplate starih potraživanja. U </w:t>
      </w:r>
      <w:r w:rsidR="00FE6361">
        <w:rPr>
          <w:rFonts w:ascii="Times New Roman" w:hAnsi="Times New Roman"/>
          <w:bCs/>
          <w:iCs/>
        </w:rPr>
        <w:t>2025. godini prihod</w:t>
      </w:r>
      <w:r w:rsidR="003B41AF">
        <w:rPr>
          <w:rFonts w:ascii="Times New Roman" w:hAnsi="Times New Roman"/>
          <w:bCs/>
          <w:iCs/>
        </w:rPr>
        <w:t xml:space="preserve"> od poreza na nekretnine iznosio je 40.858,47 EUR.</w:t>
      </w:r>
    </w:p>
    <w:p w14:paraId="084761B1" w14:textId="0E086ED1" w:rsidR="00065D53" w:rsidRDefault="00065D53" w:rsidP="00065D53">
      <w:pPr>
        <w:autoSpaceDE w:val="0"/>
        <w:autoSpaceDN w:val="0"/>
        <w:adjustRightInd w:val="0"/>
        <w:spacing w:after="0" w:line="240" w:lineRule="auto"/>
        <w:jc w:val="both"/>
        <w:rPr>
          <w:rFonts w:ascii="Times New Roman" w:hAnsi="Times New Roman"/>
          <w:bCs/>
          <w:iCs/>
        </w:rPr>
      </w:pPr>
      <w:r>
        <w:rPr>
          <w:rFonts w:ascii="Times New Roman" w:hAnsi="Times New Roman"/>
          <w:bCs/>
          <w:iCs/>
        </w:rPr>
        <w:t xml:space="preserve">Porez na promet nekretnina u izvještajnom razdoblju je </w:t>
      </w:r>
      <w:r w:rsidR="003B41AF">
        <w:rPr>
          <w:rFonts w:ascii="Times New Roman" w:hAnsi="Times New Roman"/>
          <w:bCs/>
          <w:iCs/>
        </w:rPr>
        <w:t>manji</w:t>
      </w:r>
      <w:r>
        <w:rPr>
          <w:rFonts w:ascii="Times New Roman" w:hAnsi="Times New Roman"/>
          <w:bCs/>
          <w:iCs/>
        </w:rPr>
        <w:t xml:space="preserve"> za </w:t>
      </w:r>
      <w:r w:rsidR="003B41AF">
        <w:rPr>
          <w:rFonts w:ascii="Times New Roman" w:hAnsi="Times New Roman"/>
          <w:bCs/>
          <w:iCs/>
        </w:rPr>
        <w:t>25.243,78</w:t>
      </w:r>
      <w:r>
        <w:rPr>
          <w:rFonts w:ascii="Times New Roman" w:hAnsi="Times New Roman"/>
          <w:bCs/>
          <w:iCs/>
        </w:rPr>
        <w:t xml:space="preserve"> EUR u odnosu na isto razdoblje 2024. godine, dok porez na potrošnju </w:t>
      </w:r>
      <w:r w:rsidR="003B41AF">
        <w:rPr>
          <w:rFonts w:ascii="Times New Roman" w:hAnsi="Times New Roman"/>
          <w:bCs/>
          <w:iCs/>
        </w:rPr>
        <w:t>ne bilježi značajnije promjene</w:t>
      </w:r>
      <w:r>
        <w:rPr>
          <w:rFonts w:ascii="Times New Roman" w:hAnsi="Times New Roman"/>
          <w:bCs/>
          <w:iCs/>
        </w:rPr>
        <w:t>.</w:t>
      </w:r>
    </w:p>
    <w:p w14:paraId="07FFA5D6" w14:textId="77777777" w:rsidR="00065D53" w:rsidRDefault="00065D53" w:rsidP="00AC3AE3">
      <w:pPr>
        <w:autoSpaceDE w:val="0"/>
        <w:autoSpaceDN w:val="0"/>
        <w:adjustRightInd w:val="0"/>
        <w:spacing w:after="0" w:line="240" w:lineRule="auto"/>
        <w:jc w:val="both"/>
        <w:rPr>
          <w:rFonts w:ascii="Times New Roman" w:hAnsi="Times New Roman"/>
          <w:b/>
          <w:i/>
          <w:u w:val="single"/>
        </w:rPr>
      </w:pPr>
    </w:p>
    <w:p w14:paraId="27BFFEC7" w14:textId="128A09D4" w:rsidR="00FD72E1" w:rsidRDefault="00B41A12" w:rsidP="00AC3AE3">
      <w:pPr>
        <w:autoSpaceDE w:val="0"/>
        <w:autoSpaceDN w:val="0"/>
        <w:adjustRightInd w:val="0"/>
        <w:spacing w:after="0" w:line="240" w:lineRule="auto"/>
        <w:jc w:val="both"/>
        <w:rPr>
          <w:rFonts w:ascii="Times New Roman" w:hAnsi="Times New Roman"/>
        </w:rPr>
      </w:pPr>
      <w:r w:rsidRPr="00977972">
        <w:rPr>
          <w:rFonts w:ascii="Times New Roman" w:hAnsi="Times New Roman"/>
          <w:b/>
          <w:i/>
          <w:u w:val="single"/>
        </w:rPr>
        <w:t>Pod pomoći iz inozemstva (darovnice) i od subjekata unutar općeg proračuna</w:t>
      </w:r>
      <w:r w:rsidRPr="00977972">
        <w:rPr>
          <w:rFonts w:ascii="Times New Roman" w:hAnsi="Times New Roman"/>
          <w:b/>
        </w:rPr>
        <w:t xml:space="preserve"> (63)</w:t>
      </w:r>
      <w:r w:rsidRPr="00977972">
        <w:rPr>
          <w:rFonts w:ascii="Times New Roman" w:hAnsi="Times New Roman"/>
        </w:rPr>
        <w:t xml:space="preserve"> s</w:t>
      </w:r>
      <w:r w:rsidR="00D153C4" w:rsidRPr="00977972">
        <w:rPr>
          <w:rFonts w:ascii="Times New Roman" w:hAnsi="Times New Roman"/>
        </w:rPr>
        <w:t xml:space="preserve">padaju tekuće i kapitalne </w:t>
      </w:r>
      <w:r w:rsidRPr="00977972">
        <w:rPr>
          <w:rFonts w:ascii="Times New Roman" w:hAnsi="Times New Roman"/>
        </w:rPr>
        <w:t>pomoći općinskih, županijski</w:t>
      </w:r>
      <w:r w:rsidR="00D153C4" w:rsidRPr="00977972">
        <w:rPr>
          <w:rFonts w:ascii="Times New Roman" w:hAnsi="Times New Roman"/>
        </w:rPr>
        <w:t>h i državnih proračuna. U</w:t>
      </w:r>
      <w:r w:rsidR="00477E39" w:rsidRPr="00977972">
        <w:rPr>
          <w:rFonts w:ascii="Times New Roman" w:hAnsi="Times New Roman"/>
        </w:rPr>
        <w:t xml:space="preserve"> </w:t>
      </w:r>
      <w:r w:rsidR="00065D53">
        <w:rPr>
          <w:rFonts w:ascii="Times New Roman" w:hAnsi="Times New Roman"/>
        </w:rPr>
        <w:t>2025</w:t>
      </w:r>
      <w:r w:rsidR="00E45784">
        <w:rPr>
          <w:rFonts w:ascii="Times New Roman" w:hAnsi="Times New Roman"/>
        </w:rPr>
        <w:t>. godini</w:t>
      </w:r>
      <w:r w:rsidR="00367D94" w:rsidRPr="00977972">
        <w:rPr>
          <w:rFonts w:ascii="Times New Roman" w:hAnsi="Times New Roman"/>
        </w:rPr>
        <w:t xml:space="preserve"> </w:t>
      </w:r>
      <w:r w:rsidRPr="00977972">
        <w:rPr>
          <w:rFonts w:ascii="Times New Roman" w:hAnsi="Times New Roman"/>
        </w:rPr>
        <w:t xml:space="preserve">te su pomoći ostvarene u iznosu od </w:t>
      </w:r>
      <w:r w:rsidR="00065D53">
        <w:rPr>
          <w:rFonts w:ascii="Times New Roman" w:hAnsi="Times New Roman"/>
        </w:rPr>
        <w:t>328.901,67</w:t>
      </w:r>
      <w:r w:rsidR="00247F91" w:rsidRPr="00977972">
        <w:rPr>
          <w:rFonts w:ascii="Times New Roman" w:hAnsi="Times New Roman"/>
        </w:rPr>
        <w:t xml:space="preserve"> EUR</w:t>
      </w:r>
      <w:r w:rsidR="006F4829">
        <w:rPr>
          <w:rFonts w:ascii="Times New Roman" w:hAnsi="Times New Roman"/>
        </w:rPr>
        <w:t>, te bilježe povećanje za više od dva puta u odnosu na prethodno izvještajno razdoblje.</w:t>
      </w:r>
    </w:p>
    <w:p w14:paraId="54A7C1FC" w14:textId="77777777" w:rsidR="006F4829" w:rsidRPr="00977972" w:rsidRDefault="006F4829" w:rsidP="00AC3AE3">
      <w:pPr>
        <w:autoSpaceDE w:val="0"/>
        <w:autoSpaceDN w:val="0"/>
        <w:adjustRightInd w:val="0"/>
        <w:spacing w:after="0" w:line="240" w:lineRule="auto"/>
        <w:jc w:val="both"/>
        <w:rPr>
          <w:rFonts w:ascii="Times New Roman" w:hAnsi="Times New Roman"/>
        </w:rPr>
      </w:pPr>
    </w:p>
    <w:p w14:paraId="2C852A70" w14:textId="282A8F48" w:rsidR="006F4829" w:rsidRPr="00DC6AA3" w:rsidRDefault="006F4829" w:rsidP="006F4829">
      <w:pPr>
        <w:autoSpaceDE w:val="0"/>
        <w:autoSpaceDN w:val="0"/>
        <w:adjustRightInd w:val="0"/>
        <w:spacing w:after="0" w:line="240" w:lineRule="auto"/>
        <w:jc w:val="both"/>
        <w:rPr>
          <w:rFonts w:ascii="Times New Roman" w:eastAsiaTheme="minorHAnsi" w:hAnsi="Times New Roman"/>
          <w:lang w:eastAsia="en-US"/>
        </w:rPr>
      </w:pPr>
      <w:r w:rsidRPr="00DC6AA3">
        <w:rPr>
          <w:rFonts w:ascii="Times New Roman" w:hAnsi="Times New Roman"/>
        </w:rPr>
        <w:t xml:space="preserve">U tekućem izvještajnom razdoblju  iznos od </w:t>
      </w:r>
      <w:r w:rsidR="00DC6AA3" w:rsidRPr="00DC6AA3">
        <w:rPr>
          <w:rFonts w:ascii="Times New Roman" w:hAnsi="Times New Roman"/>
        </w:rPr>
        <w:t>29.242,55</w:t>
      </w:r>
      <w:r w:rsidRPr="00DC6AA3">
        <w:rPr>
          <w:rFonts w:ascii="Times New Roman" w:hAnsi="Times New Roman"/>
        </w:rPr>
        <w:t xml:space="preserve"> EUR odnosi na pomoći iz Državnog proračuna putem </w:t>
      </w:r>
      <w:r w:rsidR="00DC6AA3" w:rsidRPr="00DC6AA3">
        <w:rPr>
          <w:rFonts w:ascii="Times New Roman" w:hAnsi="Times New Roman"/>
        </w:rPr>
        <w:t>fiskalnog izravnanj</w:t>
      </w:r>
      <w:r w:rsidR="00FE6361">
        <w:rPr>
          <w:rFonts w:ascii="Times New Roman" w:hAnsi="Times New Roman"/>
        </w:rPr>
        <w:t>a</w:t>
      </w:r>
      <w:r w:rsidR="00DC6AA3" w:rsidRPr="00DC6AA3">
        <w:rPr>
          <w:rFonts w:ascii="Times New Roman" w:hAnsi="Times New Roman"/>
        </w:rPr>
        <w:t xml:space="preserve">. </w:t>
      </w:r>
      <w:r w:rsidR="00DC6AA3" w:rsidRPr="00DC6AA3">
        <w:rPr>
          <w:rStyle w:val="Strong"/>
          <w:rFonts w:ascii="Times New Roman" w:hAnsi="Times New Roman"/>
          <w:b w:val="0"/>
        </w:rPr>
        <w:t>Pomoći izravnanja iz državnog proračuna</w:t>
      </w:r>
      <w:r w:rsidR="00DC6AA3" w:rsidRPr="00DC6AA3">
        <w:rPr>
          <w:rFonts w:ascii="Times New Roman" w:hAnsi="Times New Roman"/>
        </w:rPr>
        <w:t xml:space="preserve"> su novčana sredstva koja država daje županijama, gradovima ili općinama kako bi se smanjile razlike u njihovim prihodima i omogućilo da svi mogu f</w:t>
      </w:r>
      <w:r w:rsidR="00DC6AA3">
        <w:rPr>
          <w:rFonts w:ascii="Times New Roman" w:hAnsi="Times New Roman"/>
        </w:rPr>
        <w:t>inancirati osnovne javne usluge</w:t>
      </w:r>
      <w:r w:rsidRPr="00DC6AA3">
        <w:rPr>
          <w:rFonts w:ascii="Times New Roman" w:hAnsi="Times New Roman"/>
        </w:rPr>
        <w:t xml:space="preserve">. </w:t>
      </w:r>
      <w:r>
        <w:rPr>
          <w:rFonts w:ascii="Times New Roman" w:eastAsiaTheme="minorHAnsi" w:hAnsi="Times New Roman"/>
          <w:lang w:eastAsia="en-US"/>
        </w:rPr>
        <w:t xml:space="preserve">Iznos od </w:t>
      </w:r>
      <w:r w:rsidR="00DC6AA3">
        <w:rPr>
          <w:rFonts w:ascii="Times New Roman" w:eastAsiaTheme="minorHAnsi" w:hAnsi="Times New Roman"/>
          <w:lang w:eastAsia="en-US"/>
        </w:rPr>
        <w:t>17.244,00</w:t>
      </w:r>
      <w:r>
        <w:rPr>
          <w:rFonts w:ascii="Times New Roman" w:eastAsiaTheme="minorHAnsi" w:hAnsi="Times New Roman"/>
          <w:lang w:eastAsia="en-US"/>
        </w:rPr>
        <w:t xml:space="preserve"> EUR uprihodovan kroz tekuće pomoći </w:t>
      </w:r>
      <w:r w:rsidRPr="00DC6AA3">
        <w:rPr>
          <w:rFonts w:ascii="Times New Roman" w:eastAsiaTheme="minorHAnsi" w:hAnsi="Times New Roman"/>
          <w:lang w:eastAsia="en-US"/>
        </w:rPr>
        <w:t>iz Državnog proračuna odnosi se na sredstva fiskalne održivosti dječjeg vrtića</w:t>
      </w:r>
      <w:r w:rsidR="00DC6AA3" w:rsidRPr="00DC6AA3">
        <w:rPr>
          <w:rFonts w:ascii="Times New Roman" w:eastAsiaTheme="minorHAnsi" w:hAnsi="Times New Roman"/>
          <w:lang w:eastAsia="en-US"/>
        </w:rPr>
        <w:t>, te iznos od 3.683,79 EUR odnosi se na pomoći vezane za funkcionalno spajanje</w:t>
      </w:r>
      <w:r w:rsidR="00DC6AA3" w:rsidRPr="00DC6AA3">
        <w:rPr>
          <w:rFonts w:ascii="Times New Roman" w:hAnsi="Times New Roman"/>
        </w:rPr>
        <w:t xml:space="preserve"> jedinica lokalne samouprave radi zajedničkog obavljanja poslova komunalnog redarstva.</w:t>
      </w:r>
    </w:p>
    <w:p w14:paraId="0BB9C309" w14:textId="77777777" w:rsidR="006F4829" w:rsidRPr="00DC6AA3" w:rsidRDefault="006F4829" w:rsidP="006F4829">
      <w:pPr>
        <w:autoSpaceDE w:val="0"/>
        <w:autoSpaceDN w:val="0"/>
        <w:adjustRightInd w:val="0"/>
        <w:spacing w:after="0" w:line="240" w:lineRule="auto"/>
        <w:jc w:val="both"/>
        <w:rPr>
          <w:rFonts w:ascii="Times New Roman" w:eastAsiaTheme="minorHAnsi" w:hAnsi="Times New Roman"/>
          <w:lang w:eastAsia="en-US"/>
        </w:rPr>
      </w:pPr>
    </w:p>
    <w:p w14:paraId="707BFA85" w14:textId="7F001F1A" w:rsidR="006F4829" w:rsidRPr="00977972" w:rsidRDefault="006F4829" w:rsidP="006F4829">
      <w:pPr>
        <w:autoSpaceDE w:val="0"/>
        <w:autoSpaceDN w:val="0"/>
        <w:adjustRightInd w:val="0"/>
        <w:spacing w:after="0" w:line="240" w:lineRule="auto"/>
        <w:jc w:val="both"/>
        <w:rPr>
          <w:rFonts w:ascii="Times New Roman" w:eastAsiaTheme="minorHAnsi" w:hAnsi="Times New Roman"/>
          <w:lang w:eastAsia="en-US"/>
        </w:rPr>
      </w:pPr>
      <w:r w:rsidRPr="00977972">
        <w:rPr>
          <w:rFonts w:ascii="Times New Roman" w:eastAsiaTheme="minorHAnsi" w:hAnsi="Times New Roman"/>
          <w:lang w:eastAsia="en-US"/>
        </w:rPr>
        <w:t xml:space="preserve">Iz proračuna Općine Grožnjan uprihodovano je </w:t>
      </w:r>
      <w:r w:rsidR="00DC6AA3">
        <w:rPr>
          <w:rFonts w:ascii="Times New Roman" w:eastAsiaTheme="minorHAnsi" w:hAnsi="Times New Roman"/>
          <w:lang w:eastAsia="en-US"/>
        </w:rPr>
        <w:t>3.587,99</w:t>
      </w:r>
      <w:r w:rsidRPr="00977972">
        <w:rPr>
          <w:rFonts w:ascii="Times New Roman" w:eastAsiaTheme="minorHAnsi" w:hAnsi="Times New Roman"/>
          <w:lang w:eastAsia="en-US"/>
        </w:rPr>
        <w:t xml:space="preserve"> EUR za sufinanciranje boravka djece sa prebivalištem iz navedene općina u Oprtaljskom vrtiću. </w:t>
      </w:r>
    </w:p>
    <w:p w14:paraId="5F46C0BE" w14:textId="77777777" w:rsidR="006F4829" w:rsidRDefault="006F4829" w:rsidP="006F4829">
      <w:pPr>
        <w:autoSpaceDE w:val="0"/>
        <w:autoSpaceDN w:val="0"/>
        <w:adjustRightInd w:val="0"/>
        <w:spacing w:after="0" w:line="240" w:lineRule="auto"/>
        <w:jc w:val="both"/>
        <w:rPr>
          <w:rFonts w:ascii="Times New Roman" w:eastAsiaTheme="minorHAnsi" w:hAnsi="Times New Roman"/>
          <w:lang w:eastAsia="en-US"/>
        </w:rPr>
      </w:pPr>
    </w:p>
    <w:p w14:paraId="385D1FC0" w14:textId="2EEDFACB" w:rsidR="006F4829" w:rsidRDefault="006F4829" w:rsidP="006F4829">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 xml:space="preserve">Iz </w:t>
      </w:r>
      <w:r w:rsidRPr="00977972">
        <w:rPr>
          <w:rFonts w:ascii="Times New Roman" w:eastAsiaTheme="minorHAnsi" w:hAnsi="Times New Roman"/>
          <w:lang w:eastAsia="en-US"/>
        </w:rPr>
        <w:t xml:space="preserve">Županijskog proračuna u izvještajnom razdoblju uprihodovano je ukupno </w:t>
      </w:r>
      <w:r w:rsidR="00DC6AA3">
        <w:rPr>
          <w:rFonts w:ascii="Times New Roman" w:eastAsiaTheme="minorHAnsi" w:hAnsi="Times New Roman"/>
          <w:lang w:eastAsia="en-US"/>
        </w:rPr>
        <w:t>89.879,10</w:t>
      </w:r>
      <w:r w:rsidRPr="00977972">
        <w:rPr>
          <w:rFonts w:ascii="Times New Roman" w:eastAsiaTheme="minorHAnsi" w:hAnsi="Times New Roman"/>
          <w:lang w:eastAsia="en-US"/>
        </w:rPr>
        <w:t xml:space="preserve"> EUR</w:t>
      </w:r>
      <w:r w:rsidR="00DC6AA3">
        <w:rPr>
          <w:rFonts w:ascii="Times New Roman" w:eastAsiaTheme="minorHAnsi" w:hAnsi="Times New Roman"/>
          <w:lang w:eastAsia="en-US"/>
        </w:rPr>
        <w:t xml:space="preserve"> tekućih pomoći, te 35.675,48 EUR kapitalnih pomoći</w:t>
      </w:r>
      <w:r w:rsidRPr="00977972">
        <w:rPr>
          <w:rFonts w:ascii="Times New Roman" w:eastAsiaTheme="minorHAnsi" w:hAnsi="Times New Roman"/>
          <w:lang w:eastAsia="en-US"/>
        </w:rPr>
        <w:t xml:space="preserve">. Navedeni se iznos odnosi </w:t>
      </w:r>
      <w:r>
        <w:rPr>
          <w:rFonts w:ascii="Times New Roman" w:eastAsiaTheme="minorHAnsi" w:hAnsi="Times New Roman"/>
          <w:lang w:eastAsia="en-US"/>
        </w:rPr>
        <w:t xml:space="preserve">na </w:t>
      </w:r>
      <w:r w:rsidRPr="00977972">
        <w:rPr>
          <w:rFonts w:ascii="Times New Roman" w:eastAsiaTheme="minorHAnsi" w:hAnsi="Times New Roman"/>
          <w:lang w:eastAsia="en-US"/>
        </w:rPr>
        <w:t xml:space="preserve">sufinanciranje </w:t>
      </w:r>
      <w:r>
        <w:rPr>
          <w:rFonts w:ascii="Times New Roman" w:eastAsiaTheme="minorHAnsi" w:hAnsi="Times New Roman"/>
          <w:lang w:eastAsia="en-US"/>
        </w:rPr>
        <w:t xml:space="preserve">održavanja Lokalnih izbora i to u iznosu od </w:t>
      </w:r>
      <w:r w:rsidR="00060DAD">
        <w:rPr>
          <w:rFonts w:ascii="Times New Roman" w:eastAsiaTheme="minorHAnsi" w:hAnsi="Times New Roman"/>
          <w:lang w:eastAsia="en-US"/>
        </w:rPr>
        <w:t>11.233,75</w:t>
      </w:r>
      <w:r>
        <w:rPr>
          <w:rFonts w:ascii="Times New Roman" w:eastAsiaTheme="minorHAnsi" w:hAnsi="Times New Roman"/>
          <w:lang w:eastAsia="en-US"/>
        </w:rPr>
        <w:t xml:space="preserve"> </w:t>
      </w:r>
      <w:r w:rsidRPr="00977972">
        <w:rPr>
          <w:rFonts w:ascii="Times New Roman" w:eastAsiaTheme="minorHAnsi" w:hAnsi="Times New Roman"/>
          <w:lang w:eastAsia="en-US"/>
        </w:rPr>
        <w:t>EUR</w:t>
      </w:r>
      <w:r>
        <w:rPr>
          <w:rFonts w:ascii="Times New Roman" w:eastAsiaTheme="minorHAnsi" w:hAnsi="Times New Roman"/>
          <w:lang w:eastAsia="en-US"/>
        </w:rPr>
        <w:t>.</w:t>
      </w:r>
    </w:p>
    <w:p w14:paraId="6797E3B6" w14:textId="21F6CD26" w:rsidR="006F4829" w:rsidRDefault="006F4829" w:rsidP="006F4829">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Iznos od 40.000,00 EUR odnosi se na projekt „</w:t>
      </w:r>
      <w:r w:rsidRPr="0085710E">
        <w:rPr>
          <w:rFonts w:ascii="Times New Roman" w:eastAsiaTheme="minorHAnsi" w:hAnsi="Times New Roman"/>
          <w:lang w:eastAsia="en-US"/>
        </w:rPr>
        <w:t>Muzej seobe i stradanja – MUSEOS u Oprtlju</w:t>
      </w:r>
      <w:r>
        <w:rPr>
          <w:rFonts w:ascii="Times New Roman" w:eastAsiaTheme="minorHAnsi" w:hAnsi="Times New Roman"/>
          <w:lang w:eastAsia="en-US"/>
        </w:rPr>
        <w:t xml:space="preserve">“ </w:t>
      </w:r>
      <w:r w:rsidRPr="0085710E">
        <w:rPr>
          <w:rFonts w:ascii="Times New Roman" w:eastAsiaTheme="minorHAnsi" w:hAnsi="Times New Roman"/>
          <w:lang w:eastAsia="en-US"/>
        </w:rPr>
        <w:t>i tematiziranje jedne od karakteristika krajeva uz koje prolaze granice, odnosno migracije kroz stoljeća koje su se redovito događale i u Istri. </w:t>
      </w:r>
      <w:r>
        <w:rPr>
          <w:rFonts w:ascii="Times New Roman" w:eastAsiaTheme="minorHAnsi" w:hAnsi="Times New Roman"/>
          <w:lang w:eastAsia="en-US"/>
        </w:rPr>
        <w:t>Radi</w:t>
      </w:r>
      <w:r w:rsidRPr="0085710E">
        <w:rPr>
          <w:rFonts w:ascii="Times New Roman" w:eastAsiaTheme="minorHAnsi" w:hAnsi="Times New Roman"/>
          <w:lang w:eastAsia="en-US"/>
        </w:rPr>
        <w:t xml:space="preserve"> se o inicijativi osmišljenoj s Istarskom županijom za revitalizaciju stare oprtaljske jezgre</w:t>
      </w:r>
      <w:r w:rsidR="008C0558">
        <w:rPr>
          <w:rFonts w:ascii="Times New Roman" w:eastAsiaTheme="minorHAnsi" w:hAnsi="Times New Roman"/>
          <w:lang w:eastAsia="en-US"/>
        </w:rPr>
        <w:t>. I</w:t>
      </w:r>
      <w:r>
        <w:rPr>
          <w:rFonts w:ascii="Times New Roman" w:eastAsiaTheme="minorHAnsi" w:hAnsi="Times New Roman"/>
          <w:lang w:eastAsia="en-US"/>
        </w:rPr>
        <w:t>znos od 22.675,48 EUR odnosi se na sufinanciranje izdavanja knjige „Oprtaljski statut“ - III. faza</w:t>
      </w:r>
      <w:r w:rsidRPr="00977972">
        <w:rPr>
          <w:rFonts w:ascii="Times New Roman" w:eastAsiaTheme="minorHAnsi" w:hAnsi="Times New Roman"/>
          <w:lang w:eastAsia="en-US"/>
        </w:rPr>
        <w:t>.</w:t>
      </w:r>
    </w:p>
    <w:p w14:paraId="35965A3A" w14:textId="67F918BF" w:rsidR="00DC6AA3" w:rsidRDefault="00DC6AA3" w:rsidP="006F4829">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Iznos od 13.000,00 EUR uprihodovan je za postavljanje vježbališta u naselju Oprtalj, za održavanje trase Pa</w:t>
      </w:r>
      <w:r w:rsidR="008C0558">
        <w:rPr>
          <w:rFonts w:ascii="Times New Roman" w:eastAsiaTheme="minorHAnsi" w:hAnsi="Times New Roman"/>
          <w:lang w:eastAsia="en-US"/>
        </w:rPr>
        <w:t>renzana u znaku promicanja turiz</w:t>
      </w:r>
      <w:r>
        <w:rPr>
          <w:rFonts w:ascii="Times New Roman" w:eastAsiaTheme="minorHAnsi" w:hAnsi="Times New Roman"/>
          <w:lang w:eastAsia="en-US"/>
        </w:rPr>
        <w:t>ma u prihodovano je 3.645,35 EUR. Iznos od 35.000,00 EUR uprihodovan je za sanaciju nerazvrstanih cesta.</w:t>
      </w:r>
    </w:p>
    <w:p w14:paraId="4A7F4D51" w14:textId="77777777" w:rsidR="000C4593" w:rsidRPr="008C0558" w:rsidRDefault="005D34F4" w:rsidP="008C0558">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Iz državnog proračuna također su uprihodovana sredstva za nabavu robotske kosilice za održavanje javnih površina u iznosu od 700,00 EUR, iznos od 45.712,50 EUR</w:t>
      </w:r>
      <w:r w:rsidR="0089290F">
        <w:rPr>
          <w:rFonts w:ascii="Times New Roman" w:eastAsiaTheme="minorHAnsi" w:hAnsi="Times New Roman"/>
          <w:lang w:eastAsia="en-US"/>
        </w:rPr>
        <w:t xml:space="preserve"> za obnovu nosača zastave na trgu </w:t>
      </w:r>
      <w:r w:rsidR="0089290F" w:rsidRPr="008C0558">
        <w:rPr>
          <w:rFonts w:ascii="Times New Roman" w:eastAsiaTheme="minorHAnsi" w:hAnsi="Times New Roman"/>
          <w:lang w:eastAsia="en-US"/>
        </w:rPr>
        <w:t>Belvedere u Oprtlju</w:t>
      </w:r>
      <w:r w:rsidRPr="008C0558">
        <w:rPr>
          <w:rFonts w:ascii="Times New Roman" w:eastAsiaTheme="minorHAnsi" w:hAnsi="Times New Roman"/>
          <w:lang w:eastAsia="en-US"/>
        </w:rPr>
        <w:t xml:space="preserve"> te iznos od 29.428,89 EUR za uređenje svlačionica u Oprtlju (I. faza)</w:t>
      </w:r>
      <w:r w:rsidR="000C4593" w:rsidRPr="008C0558">
        <w:rPr>
          <w:rFonts w:ascii="Times New Roman" w:eastAsiaTheme="minorHAnsi" w:hAnsi="Times New Roman"/>
          <w:lang w:eastAsia="en-US"/>
        </w:rPr>
        <w:t>.</w:t>
      </w:r>
    </w:p>
    <w:p w14:paraId="17CFC5FF" w14:textId="77777777" w:rsidR="000C4593" w:rsidRPr="008C0558" w:rsidRDefault="000C4593" w:rsidP="008C0558">
      <w:pPr>
        <w:autoSpaceDE w:val="0"/>
        <w:autoSpaceDN w:val="0"/>
        <w:adjustRightInd w:val="0"/>
        <w:spacing w:after="0" w:line="240" w:lineRule="auto"/>
        <w:jc w:val="both"/>
        <w:rPr>
          <w:rFonts w:ascii="Times New Roman" w:eastAsiaTheme="minorHAnsi" w:hAnsi="Times New Roman"/>
          <w:lang w:eastAsia="en-US"/>
        </w:rPr>
      </w:pPr>
    </w:p>
    <w:p w14:paraId="47E41C0E" w14:textId="77777777" w:rsidR="008C0558" w:rsidRPr="008C0558" w:rsidRDefault="008C0558" w:rsidP="008C0558">
      <w:pPr>
        <w:spacing w:after="0" w:line="240" w:lineRule="auto"/>
        <w:jc w:val="both"/>
        <w:rPr>
          <w:rFonts w:ascii="Times New Roman" w:hAnsi="Times New Roman"/>
        </w:rPr>
      </w:pPr>
      <w:r w:rsidRPr="008C0558">
        <w:rPr>
          <w:rFonts w:ascii="Times New Roman" w:hAnsi="Times New Roman"/>
        </w:rPr>
        <w:t xml:space="preserve">U izvještajnom razdoblju realizirani su i prihodi od </w:t>
      </w:r>
      <w:r w:rsidRPr="008C0558">
        <w:rPr>
          <w:rFonts w:ascii="Times New Roman" w:hAnsi="Times New Roman"/>
          <w:b/>
          <w:bCs/>
        </w:rPr>
        <w:t xml:space="preserve">kapitalnih pomoći od izvanproračunskih korisnika </w:t>
      </w:r>
      <w:r w:rsidRPr="008C0558">
        <w:rPr>
          <w:rFonts w:ascii="Times New Roman" w:hAnsi="Times New Roman"/>
        </w:rPr>
        <w:t>u iznosu od 42.750,00 EUR. Navedena se sredstva odnose na projekt kojim se ulaže u pametna i održiva rješenja za bolji život građana. Projekt je sufinanciran od Fonda za zaštitu okoliša i energetsku učinkovitost:</w:t>
      </w:r>
    </w:p>
    <w:p w14:paraId="151529A5" w14:textId="77777777" w:rsidR="008C0558" w:rsidRPr="008C0558" w:rsidRDefault="008C0558" w:rsidP="008C0558">
      <w:pPr>
        <w:numPr>
          <w:ilvl w:val="0"/>
          <w:numId w:val="28"/>
        </w:numPr>
        <w:spacing w:after="0" w:line="240" w:lineRule="auto"/>
        <w:jc w:val="both"/>
        <w:rPr>
          <w:rFonts w:ascii="Times New Roman" w:hAnsi="Times New Roman"/>
        </w:rPr>
      </w:pPr>
      <w:r w:rsidRPr="008C0558">
        <w:rPr>
          <w:rFonts w:ascii="Times New Roman" w:hAnsi="Times New Roman"/>
        </w:rPr>
        <w:t xml:space="preserve">Nadograđen je postojeći GIS sustav  </w:t>
      </w:r>
    </w:p>
    <w:p w14:paraId="67EB4946" w14:textId="77777777" w:rsidR="008C0558" w:rsidRPr="008C0558" w:rsidRDefault="008C0558" w:rsidP="008C0558">
      <w:pPr>
        <w:numPr>
          <w:ilvl w:val="0"/>
          <w:numId w:val="28"/>
        </w:numPr>
        <w:spacing w:after="0" w:line="240" w:lineRule="auto"/>
        <w:jc w:val="both"/>
        <w:rPr>
          <w:rFonts w:ascii="Times New Roman" w:hAnsi="Times New Roman"/>
        </w:rPr>
      </w:pPr>
      <w:r w:rsidRPr="008C0558">
        <w:rPr>
          <w:rFonts w:ascii="Times New Roman" w:hAnsi="Times New Roman"/>
        </w:rPr>
        <w:t>Implementiran je brojač prometa i mjerač temperature kolnika </w:t>
      </w:r>
    </w:p>
    <w:p w14:paraId="4866F452" w14:textId="77777777" w:rsidR="008C0558" w:rsidRPr="008C0558" w:rsidRDefault="008C0558" w:rsidP="008C0558">
      <w:pPr>
        <w:numPr>
          <w:ilvl w:val="0"/>
          <w:numId w:val="28"/>
        </w:numPr>
        <w:spacing w:after="0" w:line="240" w:lineRule="auto"/>
        <w:jc w:val="both"/>
        <w:rPr>
          <w:rFonts w:ascii="Times New Roman" w:hAnsi="Times New Roman"/>
        </w:rPr>
      </w:pPr>
      <w:r w:rsidRPr="008C0558">
        <w:rPr>
          <w:rFonts w:ascii="Times New Roman" w:hAnsi="Times New Roman"/>
        </w:rPr>
        <w:t>Postavljen je mjerač kvalitete zraka.</w:t>
      </w:r>
    </w:p>
    <w:p w14:paraId="3AD0332A" w14:textId="77777777" w:rsidR="00791459" w:rsidRPr="008C0558" w:rsidRDefault="00791459" w:rsidP="008C0558">
      <w:pPr>
        <w:pStyle w:val="Default"/>
        <w:jc w:val="both"/>
        <w:rPr>
          <w:rFonts w:ascii="Times New Roman" w:hAnsi="Times New Roman" w:cs="Times New Roman"/>
          <w:sz w:val="22"/>
          <w:szCs w:val="22"/>
        </w:rPr>
      </w:pPr>
    </w:p>
    <w:p w14:paraId="43A62670" w14:textId="77777777" w:rsidR="008C0558" w:rsidRDefault="008C0558" w:rsidP="00B41A12">
      <w:pPr>
        <w:pStyle w:val="BodyText"/>
        <w:rPr>
          <w:rFonts w:ascii="Times New Roman" w:hAnsi="Times New Roman" w:cs="Times New Roman"/>
          <w:b/>
          <w:i/>
          <w:sz w:val="22"/>
          <w:szCs w:val="22"/>
          <w:u w:val="single"/>
        </w:rPr>
      </w:pPr>
    </w:p>
    <w:p w14:paraId="581D7DCA" w14:textId="77777777" w:rsidR="008C0558" w:rsidRDefault="008C0558" w:rsidP="00B41A12">
      <w:pPr>
        <w:pStyle w:val="BodyText"/>
        <w:rPr>
          <w:rFonts w:ascii="Times New Roman" w:hAnsi="Times New Roman" w:cs="Times New Roman"/>
          <w:b/>
          <w:i/>
          <w:sz w:val="22"/>
          <w:szCs w:val="22"/>
          <w:u w:val="single"/>
        </w:rPr>
      </w:pPr>
    </w:p>
    <w:p w14:paraId="7E6F85D2" w14:textId="77777777" w:rsidR="008C0558" w:rsidRDefault="008C0558" w:rsidP="00B41A12">
      <w:pPr>
        <w:pStyle w:val="BodyText"/>
        <w:rPr>
          <w:rFonts w:ascii="Times New Roman" w:hAnsi="Times New Roman" w:cs="Times New Roman"/>
          <w:b/>
          <w:i/>
          <w:sz w:val="22"/>
          <w:szCs w:val="22"/>
          <w:u w:val="single"/>
        </w:rPr>
      </w:pPr>
    </w:p>
    <w:p w14:paraId="176DC885" w14:textId="77777777" w:rsidR="008C0558" w:rsidRDefault="008C0558" w:rsidP="00B41A12">
      <w:pPr>
        <w:pStyle w:val="BodyText"/>
        <w:rPr>
          <w:rFonts w:ascii="Times New Roman" w:hAnsi="Times New Roman" w:cs="Times New Roman"/>
          <w:b/>
          <w:i/>
          <w:sz w:val="22"/>
          <w:szCs w:val="22"/>
          <w:u w:val="single"/>
        </w:rPr>
      </w:pPr>
    </w:p>
    <w:p w14:paraId="1254280A" w14:textId="3D435C35" w:rsidR="00B41A12" w:rsidRPr="00977972" w:rsidRDefault="00B41A12" w:rsidP="00B41A12">
      <w:pPr>
        <w:pStyle w:val="BodyText"/>
        <w:rPr>
          <w:rFonts w:ascii="Times New Roman" w:hAnsi="Times New Roman" w:cs="Times New Roman"/>
          <w:sz w:val="22"/>
          <w:szCs w:val="22"/>
        </w:rPr>
      </w:pPr>
      <w:r w:rsidRPr="00977972">
        <w:rPr>
          <w:rFonts w:ascii="Times New Roman" w:hAnsi="Times New Roman" w:cs="Times New Roman"/>
          <w:b/>
          <w:i/>
          <w:sz w:val="22"/>
          <w:szCs w:val="22"/>
          <w:u w:val="single"/>
        </w:rPr>
        <w:lastRenderedPageBreak/>
        <w:t>Prihodi od imovine</w:t>
      </w:r>
      <w:r w:rsidRPr="00977972">
        <w:rPr>
          <w:rFonts w:ascii="Times New Roman" w:hAnsi="Times New Roman" w:cs="Times New Roman"/>
          <w:b/>
          <w:sz w:val="22"/>
          <w:szCs w:val="22"/>
        </w:rPr>
        <w:t xml:space="preserve"> (64)</w:t>
      </w:r>
      <w:r w:rsidRPr="00977972">
        <w:rPr>
          <w:rFonts w:ascii="Times New Roman" w:hAnsi="Times New Roman" w:cs="Times New Roman"/>
          <w:sz w:val="22"/>
          <w:szCs w:val="22"/>
        </w:rPr>
        <w:t xml:space="preserve"> kao sljedeća podskupina prihoda poslovanja ostvareni su u </w:t>
      </w:r>
      <w:r w:rsidR="000C4593">
        <w:rPr>
          <w:rFonts w:ascii="Times New Roman" w:hAnsi="Times New Roman" w:cs="Times New Roman"/>
          <w:sz w:val="22"/>
          <w:szCs w:val="22"/>
        </w:rPr>
        <w:t>2025</w:t>
      </w:r>
      <w:r w:rsidR="00791459">
        <w:rPr>
          <w:rFonts w:ascii="Times New Roman" w:hAnsi="Times New Roman" w:cs="Times New Roman"/>
          <w:sz w:val="22"/>
          <w:szCs w:val="22"/>
        </w:rPr>
        <w:t>. godini</w:t>
      </w:r>
      <w:r w:rsidRPr="00977972">
        <w:rPr>
          <w:rFonts w:ascii="Times New Roman" w:hAnsi="Times New Roman" w:cs="Times New Roman"/>
          <w:sz w:val="22"/>
          <w:szCs w:val="22"/>
        </w:rPr>
        <w:t xml:space="preserve"> u iznosu od </w:t>
      </w:r>
      <w:r w:rsidR="000C4593">
        <w:rPr>
          <w:rFonts w:ascii="Times New Roman" w:hAnsi="Times New Roman" w:cs="Times New Roman"/>
          <w:sz w:val="22"/>
          <w:szCs w:val="22"/>
        </w:rPr>
        <w:t>41.324,77</w:t>
      </w:r>
      <w:r w:rsidR="00977972" w:rsidRPr="00977972">
        <w:rPr>
          <w:rFonts w:ascii="Times New Roman" w:hAnsi="Times New Roman" w:cs="Times New Roman"/>
          <w:sz w:val="22"/>
          <w:szCs w:val="22"/>
        </w:rPr>
        <w:t xml:space="preserve"> EUR</w:t>
      </w:r>
      <w:r w:rsidR="008C0558">
        <w:rPr>
          <w:rFonts w:ascii="Times New Roman" w:hAnsi="Times New Roman" w:cs="Times New Roman"/>
          <w:sz w:val="22"/>
          <w:szCs w:val="22"/>
        </w:rPr>
        <w:t>, odnosno 5</w:t>
      </w:r>
      <w:r w:rsidR="000C4593">
        <w:rPr>
          <w:rFonts w:ascii="Times New Roman" w:hAnsi="Times New Roman" w:cs="Times New Roman"/>
          <w:sz w:val="22"/>
          <w:szCs w:val="22"/>
        </w:rPr>
        <w:t>,10 % manje u odnosu na prethodnu godinu</w:t>
      </w:r>
      <w:r w:rsidRPr="00977972">
        <w:rPr>
          <w:rFonts w:ascii="Times New Roman" w:hAnsi="Times New Roman" w:cs="Times New Roman"/>
          <w:sz w:val="22"/>
          <w:szCs w:val="22"/>
        </w:rPr>
        <w:t xml:space="preserve">. Najveći udio prihoda od imovine sačinjavaju prihodi po osnovi zakupa </w:t>
      </w:r>
      <w:r w:rsidR="00A469B8" w:rsidRPr="00977972">
        <w:rPr>
          <w:rFonts w:ascii="Times New Roman" w:hAnsi="Times New Roman" w:cs="Times New Roman"/>
          <w:sz w:val="22"/>
          <w:szCs w:val="22"/>
        </w:rPr>
        <w:t>poslovnih prostora</w:t>
      </w:r>
      <w:r w:rsidR="00977972" w:rsidRPr="00977972">
        <w:rPr>
          <w:rFonts w:ascii="Times New Roman" w:hAnsi="Times New Roman" w:cs="Times New Roman"/>
          <w:sz w:val="22"/>
          <w:szCs w:val="22"/>
        </w:rPr>
        <w:t xml:space="preserve"> i javnih površina</w:t>
      </w:r>
      <w:r w:rsidR="00ED7911" w:rsidRPr="00977972">
        <w:rPr>
          <w:rFonts w:ascii="Times New Roman" w:hAnsi="Times New Roman" w:cs="Times New Roman"/>
          <w:sz w:val="22"/>
          <w:szCs w:val="22"/>
        </w:rPr>
        <w:t xml:space="preserve">, te prihodi od </w:t>
      </w:r>
      <w:r w:rsidR="00855E26" w:rsidRPr="00977972">
        <w:rPr>
          <w:rFonts w:ascii="Times New Roman" w:hAnsi="Times New Roman" w:cs="Times New Roman"/>
          <w:sz w:val="22"/>
          <w:szCs w:val="22"/>
        </w:rPr>
        <w:t>najma stambenih objekata</w:t>
      </w:r>
      <w:r w:rsidRPr="00977972">
        <w:rPr>
          <w:rFonts w:ascii="Times New Roman" w:hAnsi="Times New Roman" w:cs="Times New Roman"/>
          <w:sz w:val="22"/>
          <w:szCs w:val="22"/>
        </w:rPr>
        <w:t>. U tu kategoriju prihoda spadaju i naknade za koncesiju</w:t>
      </w:r>
      <w:r w:rsidR="00A469B8" w:rsidRPr="00977972">
        <w:rPr>
          <w:rFonts w:ascii="Times New Roman" w:hAnsi="Times New Roman" w:cs="Times New Roman"/>
          <w:sz w:val="22"/>
          <w:szCs w:val="22"/>
        </w:rPr>
        <w:t>, naknada za legalizaciju i sl</w:t>
      </w:r>
      <w:r w:rsidRPr="00977972">
        <w:rPr>
          <w:rFonts w:ascii="Times New Roman" w:hAnsi="Times New Roman" w:cs="Times New Roman"/>
          <w:sz w:val="22"/>
          <w:szCs w:val="22"/>
        </w:rPr>
        <w:t xml:space="preserve">. </w:t>
      </w:r>
    </w:p>
    <w:p w14:paraId="43CE47B3" w14:textId="77777777" w:rsidR="000C4593" w:rsidRDefault="000C4593" w:rsidP="000C4593">
      <w:pPr>
        <w:pStyle w:val="BodyText"/>
        <w:rPr>
          <w:rFonts w:ascii="Times New Roman" w:hAnsi="Times New Roman" w:cs="Times New Roman"/>
          <w:sz w:val="22"/>
          <w:szCs w:val="22"/>
        </w:rPr>
      </w:pPr>
    </w:p>
    <w:p w14:paraId="5BA17F6F" w14:textId="55D5C44C" w:rsidR="000C4593" w:rsidRPr="00977972" w:rsidRDefault="000C4593" w:rsidP="000C4593">
      <w:pPr>
        <w:pStyle w:val="BodyText"/>
        <w:rPr>
          <w:rFonts w:ascii="Times New Roman" w:hAnsi="Times New Roman" w:cs="Times New Roman"/>
          <w:sz w:val="22"/>
          <w:szCs w:val="22"/>
        </w:rPr>
      </w:pPr>
      <w:r>
        <w:rPr>
          <w:rFonts w:ascii="Times New Roman" w:hAnsi="Times New Roman" w:cs="Times New Roman"/>
          <w:sz w:val="22"/>
          <w:szCs w:val="22"/>
        </w:rPr>
        <w:t>U 2024. godini navedeni su prihodi realizirani u iznosu od 43.543,94, odnosno za 2.219,17 EUR više u odnosu na tekuće izvještajno razdoblje. Najveće odstupanje u realizaciji bilježe prihodi od zateznih kamata koji su u 2024. godini realizirani u iznosu od 11.303,59 EUR za razliku od tekućeg izvještajnog razdoblja kada nije bilo realizacije po navedenoj vrsti prihoda. Ti se prihodi u 2024. godini odnose na naplatu zateznih kamata zbog kašnjenja u plaćanju komunalnog doprinosa po izdanom rješenju.</w:t>
      </w:r>
    </w:p>
    <w:p w14:paraId="37B8B396" w14:textId="77777777" w:rsidR="000C4593" w:rsidRPr="00977972" w:rsidRDefault="000C4593" w:rsidP="00B41A12">
      <w:pPr>
        <w:pStyle w:val="BodyText"/>
        <w:ind w:firstLine="708"/>
        <w:rPr>
          <w:rFonts w:ascii="Times New Roman" w:hAnsi="Times New Roman" w:cs="Times New Roman"/>
          <w:sz w:val="22"/>
          <w:szCs w:val="22"/>
        </w:rPr>
      </w:pPr>
    </w:p>
    <w:p w14:paraId="6A49DD1D" w14:textId="3C90F2F5" w:rsidR="00126C6C" w:rsidRPr="00977972" w:rsidRDefault="00065750" w:rsidP="00065750">
      <w:pPr>
        <w:pStyle w:val="BodyText"/>
        <w:rPr>
          <w:rFonts w:ascii="Times New Roman" w:hAnsi="Times New Roman" w:cs="Times New Roman"/>
          <w:sz w:val="22"/>
          <w:szCs w:val="22"/>
        </w:rPr>
      </w:pPr>
      <w:r w:rsidRPr="00977972">
        <w:rPr>
          <w:rFonts w:ascii="Times New Roman" w:hAnsi="Times New Roman" w:cs="Times New Roman"/>
          <w:sz w:val="22"/>
          <w:szCs w:val="22"/>
        </w:rPr>
        <w:t xml:space="preserve">U nastavku daje se grafički prikaz realizacije </w:t>
      </w:r>
      <w:r w:rsidR="00CE42CF" w:rsidRPr="00977972">
        <w:rPr>
          <w:rFonts w:ascii="Times New Roman" w:hAnsi="Times New Roman" w:cs="Times New Roman"/>
          <w:sz w:val="22"/>
          <w:szCs w:val="22"/>
        </w:rPr>
        <w:t>n</w:t>
      </w:r>
      <w:r w:rsidR="00667868" w:rsidRPr="00977972">
        <w:rPr>
          <w:rFonts w:ascii="Times New Roman" w:hAnsi="Times New Roman" w:cs="Times New Roman"/>
          <w:sz w:val="22"/>
          <w:szCs w:val="22"/>
        </w:rPr>
        <w:t>a</w:t>
      </w:r>
      <w:r w:rsidR="00CE42CF" w:rsidRPr="00977972">
        <w:rPr>
          <w:rFonts w:ascii="Times New Roman" w:hAnsi="Times New Roman" w:cs="Times New Roman"/>
          <w:sz w:val="22"/>
          <w:szCs w:val="22"/>
        </w:rPr>
        <w:t xml:space="preserve">jznačajnijih </w:t>
      </w:r>
      <w:r w:rsidRPr="00977972">
        <w:rPr>
          <w:rFonts w:ascii="Times New Roman" w:hAnsi="Times New Roman" w:cs="Times New Roman"/>
          <w:sz w:val="22"/>
          <w:szCs w:val="22"/>
        </w:rPr>
        <w:t xml:space="preserve">prihoda od imovine u razdoblju od 01. siječnja do </w:t>
      </w:r>
      <w:r w:rsidR="00791459">
        <w:rPr>
          <w:rFonts w:ascii="Times New Roman" w:hAnsi="Times New Roman" w:cs="Times New Roman"/>
          <w:sz w:val="22"/>
          <w:szCs w:val="22"/>
        </w:rPr>
        <w:t>31. prosinca</w:t>
      </w:r>
      <w:r w:rsidR="004B43B6" w:rsidRPr="00977972">
        <w:rPr>
          <w:rFonts w:ascii="Times New Roman" w:hAnsi="Times New Roman" w:cs="Times New Roman"/>
          <w:sz w:val="22"/>
          <w:szCs w:val="22"/>
        </w:rPr>
        <w:t xml:space="preserve"> 20</w:t>
      </w:r>
      <w:r w:rsidR="00855E26" w:rsidRPr="00977972">
        <w:rPr>
          <w:rFonts w:ascii="Times New Roman" w:hAnsi="Times New Roman" w:cs="Times New Roman"/>
          <w:sz w:val="22"/>
          <w:szCs w:val="22"/>
        </w:rPr>
        <w:t>2</w:t>
      </w:r>
      <w:r w:rsidR="000C4593">
        <w:rPr>
          <w:rFonts w:ascii="Times New Roman" w:hAnsi="Times New Roman" w:cs="Times New Roman"/>
          <w:sz w:val="22"/>
          <w:szCs w:val="22"/>
        </w:rPr>
        <w:t>5</w:t>
      </w:r>
      <w:r w:rsidRPr="00977972">
        <w:rPr>
          <w:rFonts w:ascii="Times New Roman" w:hAnsi="Times New Roman" w:cs="Times New Roman"/>
          <w:sz w:val="22"/>
          <w:szCs w:val="22"/>
        </w:rPr>
        <w:t>. g</w:t>
      </w:r>
      <w:r w:rsidR="004B43B6" w:rsidRPr="00977972">
        <w:rPr>
          <w:rFonts w:ascii="Times New Roman" w:hAnsi="Times New Roman" w:cs="Times New Roman"/>
          <w:sz w:val="22"/>
          <w:szCs w:val="22"/>
        </w:rPr>
        <w:t>odine u odnosu na prethodnu 20</w:t>
      </w:r>
      <w:r w:rsidR="000B0A0D" w:rsidRPr="00977972">
        <w:rPr>
          <w:rFonts w:ascii="Times New Roman" w:hAnsi="Times New Roman" w:cs="Times New Roman"/>
          <w:sz w:val="22"/>
          <w:szCs w:val="22"/>
        </w:rPr>
        <w:t>2</w:t>
      </w:r>
      <w:r w:rsidR="000C4593">
        <w:rPr>
          <w:rFonts w:ascii="Times New Roman" w:hAnsi="Times New Roman" w:cs="Times New Roman"/>
          <w:sz w:val="22"/>
          <w:szCs w:val="22"/>
        </w:rPr>
        <w:t>4</w:t>
      </w:r>
      <w:r w:rsidRPr="00977972">
        <w:rPr>
          <w:rFonts w:ascii="Times New Roman" w:hAnsi="Times New Roman" w:cs="Times New Roman"/>
          <w:sz w:val="22"/>
          <w:szCs w:val="22"/>
        </w:rPr>
        <w:t>. godinu.</w:t>
      </w:r>
    </w:p>
    <w:p w14:paraId="2EB49F7E" w14:textId="77777777" w:rsidR="00126C6C" w:rsidRPr="00977972" w:rsidRDefault="00126C6C" w:rsidP="00065750">
      <w:pPr>
        <w:pStyle w:val="BodyText"/>
        <w:rPr>
          <w:rFonts w:ascii="Times New Roman" w:hAnsi="Times New Roman" w:cs="Times New Roman"/>
          <w:sz w:val="22"/>
          <w:szCs w:val="22"/>
        </w:rPr>
      </w:pPr>
    </w:p>
    <w:p w14:paraId="62576536" w14:textId="77777777" w:rsidR="00126C6C" w:rsidRDefault="00126C6C" w:rsidP="00065750">
      <w:pPr>
        <w:pStyle w:val="BodyText"/>
        <w:rPr>
          <w:rFonts w:ascii="Times New Roman" w:hAnsi="Times New Roman" w:cs="Times New Roman"/>
        </w:rPr>
      </w:pPr>
    </w:p>
    <w:p w14:paraId="4DD2AA8C" w14:textId="77777777" w:rsidR="00126C6C" w:rsidRDefault="00126C6C" w:rsidP="00065750">
      <w:pPr>
        <w:pStyle w:val="BodyText"/>
        <w:jc w:val="left"/>
        <w:rPr>
          <w:rFonts w:ascii="Times New Roman" w:hAnsi="Times New Roman" w:cs="Times New Roman"/>
          <w:b/>
          <w:i/>
        </w:rPr>
        <w:sectPr w:rsidR="00126C6C" w:rsidSect="003D1492">
          <w:pgSz w:w="11906" w:h="16838"/>
          <w:pgMar w:top="1418" w:right="1418" w:bottom="1418" w:left="1418" w:header="708" w:footer="708" w:gutter="0"/>
          <w:cols w:space="708"/>
          <w:docGrid w:linePitch="360"/>
        </w:sectPr>
      </w:pPr>
    </w:p>
    <w:p w14:paraId="25E5A636" w14:textId="6284D563" w:rsidR="00126C6C" w:rsidRPr="00877D27" w:rsidRDefault="00CE42CF" w:rsidP="00065750">
      <w:pPr>
        <w:pStyle w:val="BodyText"/>
        <w:jc w:val="left"/>
        <w:rPr>
          <w:rFonts w:ascii="Times New Roman" w:hAnsi="Times New Roman"/>
          <w:bCs/>
          <w:sz w:val="22"/>
          <w:szCs w:val="22"/>
        </w:rPr>
      </w:pPr>
      <w:r>
        <w:rPr>
          <w:rFonts w:ascii="Times New Roman" w:hAnsi="Times New Roman" w:cs="Times New Roman"/>
          <w:b/>
          <w:i/>
        </w:rPr>
        <w:lastRenderedPageBreak/>
        <w:t>Grafikon broj 3</w:t>
      </w:r>
      <w:r w:rsidR="00065750" w:rsidRPr="0097484F">
        <w:rPr>
          <w:rFonts w:ascii="Times New Roman" w:hAnsi="Times New Roman" w:cs="Times New Roman"/>
          <w:b/>
          <w:i/>
        </w:rPr>
        <w:t>.:</w:t>
      </w:r>
      <w:r w:rsidR="00065750" w:rsidRPr="0097484F">
        <w:rPr>
          <w:rFonts w:ascii="Times New Roman" w:hAnsi="Times New Roman" w:cs="Times New Roman"/>
        </w:rPr>
        <w:t xml:space="preserve"> </w:t>
      </w:r>
      <w:r w:rsidR="00065750" w:rsidRPr="00877D27">
        <w:rPr>
          <w:rFonts w:ascii="Times New Roman" w:hAnsi="Times New Roman" w:cs="Times New Roman"/>
          <w:bCs/>
          <w:sz w:val="22"/>
          <w:szCs w:val="22"/>
        </w:rPr>
        <w:t xml:space="preserve">Usporedni prikaz realizacije prihoda od imovine u razdoblju </w:t>
      </w:r>
      <w:r w:rsidR="00065750" w:rsidRPr="00877D27">
        <w:rPr>
          <w:rFonts w:ascii="Times New Roman" w:hAnsi="Times New Roman" w:cs="Times New Roman"/>
          <w:sz w:val="22"/>
          <w:szCs w:val="22"/>
        </w:rPr>
        <w:t xml:space="preserve"> </w:t>
      </w:r>
      <w:r w:rsidR="00065750" w:rsidRPr="00877D27">
        <w:rPr>
          <w:rFonts w:ascii="Times New Roman" w:hAnsi="Times New Roman"/>
          <w:bCs/>
          <w:sz w:val="22"/>
          <w:szCs w:val="22"/>
        </w:rPr>
        <w:t>od 01.</w:t>
      </w:r>
      <w:r w:rsidR="001E4B8F">
        <w:rPr>
          <w:rFonts w:ascii="Times New Roman" w:hAnsi="Times New Roman"/>
          <w:bCs/>
          <w:sz w:val="22"/>
          <w:szCs w:val="22"/>
        </w:rPr>
        <w:t xml:space="preserve"> </w:t>
      </w:r>
      <w:r w:rsidR="00065750" w:rsidRPr="00877D27">
        <w:rPr>
          <w:rFonts w:ascii="Times New Roman" w:hAnsi="Times New Roman"/>
          <w:bCs/>
          <w:sz w:val="22"/>
          <w:szCs w:val="22"/>
        </w:rPr>
        <w:t xml:space="preserve">siječnja do </w:t>
      </w:r>
      <w:r w:rsidR="00E25829">
        <w:rPr>
          <w:rFonts w:ascii="Times New Roman" w:hAnsi="Times New Roman"/>
          <w:bCs/>
          <w:sz w:val="22"/>
          <w:szCs w:val="22"/>
        </w:rPr>
        <w:t>31. prosinca</w:t>
      </w:r>
      <w:r w:rsidR="004B43B6" w:rsidRPr="00877D27">
        <w:rPr>
          <w:rFonts w:ascii="Times New Roman" w:hAnsi="Times New Roman"/>
          <w:bCs/>
          <w:sz w:val="22"/>
          <w:szCs w:val="22"/>
        </w:rPr>
        <w:t xml:space="preserve"> 20</w:t>
      </w:r>
      <w:r w:rsidR="002B4991" w:rsidRPr="00877D27">
        <w:rPr>
          <w:rFonts w:ascii="Times New Roman" w:hAnsi="Times New Roman"/>
          <w:bCs/>
          <w:sz w:val="22"/>
          <w:szCs w:val="22"/>
        </w:rPr>
        <w:t>2</w:t>
      </w:r>
      <w:r w:rsidR="0088138E">
        <w:rPr>
          <w:rFonts w:ascii="Times New Roman" w:hAnsi="Times New Roman"/>
          <w:bCs/>
          <w:sz w:val="22"/>
          <w:szCs w:val="22"/>
        </w:rPr>
        <w:t>5</w:t>
      </w:r>
      <w:r w:rsidR="00065750" w:rsidRPr="00877D27">
        <w:rPr>
          <w:rFonts w:ascii="Times New Roman" w:hAnsi="Times New Roman"/>
          <w:bCs/>
          <w:sz w:val="22"/>
          <w:szCs w:val="22"/>
        </w:rPr>
        <w:t>. g</w:t>
      </w:r>
      <w:r w:rsidR="00A469B8" w:rsidRPr="00877D27">
        <w:rPr>
          <w:rFonts w:ascii="Times New Roman" w:hAnsi="Times New Roman"/>
          <w:bCs/>
          <w:sz w:val="22"/>
          <w:szCs w:val="22"/>
        </w:rPr>
        <w:t xml:space="preserve">odine u odnosu na </w:t>
      </w:r>
      <w:r w:rsidR="004B43B6" w:rsidRPr="00877D27">
        <w:rPr>
          <w:rFonts w:ascii="Times New Roman" w:hAnsi="Times New Roman"/>
          <w:bCs/>
          <w:sz w:val="22"/>
          <w:szCs w:val="22"/>
        </w:rPr>
        <w:t>prethodnu 20</w:t>
      </w:r>
      <w:r w:rsidR="007534EA" w:rsidRPr="00877D27">
        <w:rPr>
          <w:rFonts w:ascii="Times New Roman" w:hAnsi="Times New Roman"/>
          <w:bCs/>
          <w:sz w:val="22"/>
          <w:szCs w:val="22"/>
        </w:rPr>
        <w:t>2</w:t>
      </w:r>
      <w:r w:rsidR="0088138E">
        <w:rPr>
          <w:rFonts w:ascii="Times New Roman" w:hAnsi="Times New Roman"/>
          <w:bCs/>
          <w:sz w:val="22"/>
          <w:szCs w:val="22"/>
        </w:rPr>
        <w:t>4</w:t>
      </w:r>
      <w:r w:rsidR="00065750" w:rsidRPr="00877D27">
        <w:rPr>
          <w:rFonts w:ascii="Times New Roman" w:hAnsi="Times New Roman"/>
          <w:bCs/>
          <w:sz w:val="22"/>
          <w:szCs w:val="22"/>
        </w:rPr>
        <w:t>.</w:t>
      </w:r>
      <w:r w:rsidR="004E301B">
        <w:rPr>
          <w:rFonts w:ascii="Times New Roman" w:hAnsi="Times New Roman"/>
          <w:bCs/>
          <w:sz w:val="22"/>
          <w:szCs w:val="22"/>
        </w:rPr>
        <w:t xml:space="preserve"> g</w:t>
      </w:r>
      <w:r w:rsidR="00065750" w:rsidRPr="00877D27">
        <w:rPr>
          <w:rFonts w:ascii="Times New Roman" w:hAnsi="Times New Roman"/>
          <w:bCs/>
          <w:sz w:val="22"/>
          <w:szCs w:val="22"/>
        </w:rPr>
        <w:t>odinu</w:t>
      </w:r>
    </w:p>
    <w:p w14:paraId="762627ED" w14:textId="69C659FB" w:rsidR="00126C6C" w:rsidRDefault="0088138E" w:rsidP="00065750">
      <w:pPr>
        <w:pStyle w:val="BodyText"/>
        <w:jc w:val="left"/>
        <w:rPr>
          <w:rFonts w:ascii="Times New Roman" w:hAnsi="Times New Roman"/>
          <w:bCs/>
        </w:rPr>
      </w:pPr>
      <w:r>
        <w:rPr>
          <w:noProof/>
          <w:lang w:eastAsia="hr-HR"/>
        </w:rPr>
        <w:drawing>
          <wp:inline distT="0" distB="0" distL="0" distR="0" wp14:anchorId="7976D277" wp14:editId="567F74DF">
            <wp:extent cx="8891270" cy="5124450"/>
            <wp:effectExtent l="0" t="0" r="5080" b="0"/>
            <wp:docPr id="5" name="Chart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D6A5C9" w14:textId="77777777" w:rsidR="00C64082" w:rsidRDefault="00C64082" w:rsidP="0097484F">
      <w:pPr>
        <w:pStyle w:val="BodyText"/>
        <w:jc w:val="center"/>
        <w:rPr>
          <w:rFonts w:ascii="Times New Roman" w:hAnsi="Times New Roman" w:cs="Times New Roman"/>
        </w:rPr>
      </w:pPr>
    </w:p>
    <w:p w14:paraId="35A2DF12" w14:textId="77777777" w:rsidR="00A469B8" w:rsidRDefault="00A469B8" w:rsidP="00B41A12">
      <w:pPr>
        <w:pStyle w:val="BodyText"/>
        <w:rPr>
          <w:rFonts w:ascii="Times New Roman" w:hAnsi="Times New Roman" w:cs="Times New Roman"/>
        </w:rPr>
        <w:sectPr w:rsidR="00A469B8" w:rsidSect="00A469B8">
          <w:pgSz w:w="16838" w:h="11906" w:orient="landscape"/>
          <w:pgMar w:top="1418" w:right="1418" w:bottom="1418" w:left="1418" w:header="709" w:footer="709" w:gutter="0"/>
          <w:cols w:space="708"/>
          <w:docGrid w:linePitch="360"/>
        </w:sectPr>
      </w:pPr>
    </w:p>
    <w:p w14:paraId="44548137" w14:textId="1989CD06" w:rsidR="0097484F" w:rsidRPr="00EE7FBB" w:rsidRDefault="0097484F" w:rsidP="0097484F">
      <w:pPr>
        <w:pStyle w:val="BodyText"/>
        <w:rPr>
          <w:rFonts w:ascii="Times New Roman" w:hAnsi="Times New Roman" w:cs="Times New Roman"/>
          <w:sz w:val="22"/>
          <w:szCs w:val="22"/>
        </w:rPr>
      </w:pPr>
      <w:r w:rsidRPr="009D61E7">
        <w:rPr>
          <w:rFonts w:ascii="Times New Roman" w:hAnsi="Times New Roman" w:cs="Times New Roman"/>
          <w:sz w:val="22"/>
          <w:szCs w:val="22"/>
        </w:rPr>
        <w:lastRenderedPageBreak/>
        <w:t xml:space="preserve">Najveći udio u podskupini </w:t>
      </w:r>
      <w:r w:rsidRPr="009D61E7">
        <w:rPr>
          <w:rFonts w:ascii="Times New Roman" w:hAnsi="Times New Roman" w:cs="Times New Roman"/>
          <w:b/>
          <w:i/>
          <w:sz w:val="22"/>
          <w:szCs w:val="22"/>
          <w:u w:val="single"/>
        </w:rPr>
        <w:t>prihoda od upravnih i administrativnih pristojbi, pristojbi po posebnim propisima i naknadama</w:t>
      </w:r>
      <w:r w:rsidRPr="009D61E7">
        <w:rPr>
          <w:rFonts w:ascii="Times New Roman" w:hAnsi="Times New Roman" w:cs="Times New Roman"/>
          <w:b/>
          <w:sz w:val="22"/>
          <w:szCs w:val="22"/>
        </w:rPr>
        <w:t xml:space="preserve"> (65) </w:t>
      </w:r>
      <w:r w:rsidRPr="009D61E7">
        <w:rPr>
          <w:rFonts w:ascii="Times New Roman" w:hAnsi="Times New Roman" w:cs="Times New Roman"/>
          <w:sz w:val="22"/>
          <w:szCs w:val="22"/>
        </w:rPr>
        <w:t xml:space="preserve">sačinjava </w:t>
      </w:r>
      <w:r w:rsidR="00D07A31">
        <w:rPr>
          <w:rFonts w:ascii="Times New Roman" w:hAnsi="Times New Roman" w:cs="Times New Roman"/>
          <w:sz w:val="22"/>
          <w:szCs w:val="22"/>
        </w:rPr>
        <w:t>komunalna naknada koja</w:t>
      </w:r>
      <w:r w:rsidR="004977D1" w:rsidRPr="009D61E7">
        <w:rPr>
          <w:rFonts w:ascii="Times New Roman" w:hAnsi="Times New Roman" w:cs="Times New Roman"/>
          <w:sz w:val="22"/>
          <w:szCs w:val="22"/>
        </w:rPr>
        <w:t xml:space="preserve"> </w:t>
      </w:r>
      <w:r w:rsidR="002053B7" w:rsidRPr="009D61E7">
        <w:rPr>
          <w:rFonts w:ascii="Times New Roman" w:hAnsi="Times New Roman" w:cs="Times New Roman"/>
          <w:sz w:val="22"/>
          <w:szCs w:val="22"/>
        </w:rPr>
        <w:t xml:space="preserve">je </w:t>
      </w:r>
      <w:r w:rsidR="000247FA" w:rsidRPr="009D61E7">
        <w:rPr>
          <w:rFonts w:ascii="Times New Roman" w:hAnsi="Times New Roman" w:cs="Times New Roman"/>
          <w:sz w:val="22"/>
          <w:szCs w:val="22"/>
        </w:rPr>
        <w:t xml:space="preserve">u </w:t>
      </w:r>
      <w:r w:rsidR="00D07A31">
        <w:rPr>
          <w:rFonts w:ascii="Times New Roman" w:hAnsi="Times New Roman" w:cs="Times New Roman"/>
          <w:sz w:val="22"/>
          <w:szCs w:val="22"/>
        </w:rPr>
        <w:t>2025.</w:t>
      </w:r>
      <w:r w:rsidR="0075720A">
        <w:rPr>
          <w:rFonts w:ascii="Times New Roman" w:hAnsi="Times New Roman" w:cs="Times New Roman"/>
          <w:sz w:val="22"/>
          <w:szCs w:val="22"/>
        </w:rPr>
        <w:t xml:space="preserve"> godini</w:t>
      </w:r>
      <w:r w:rsidRPr="009D61E7">
        <w:rPr>
          <w:rFonts w:ascii="Times New Roman" w:hAnsi="Times New Roman" w:cs="Times New Roman"/>
          <w:sz w:val="22"/>
          <w:szCs w:val="22"/>
        </w:rPr>
        <w:t xml:space="preserve"> </w:t>
      </w:r>
      <w:r w:rsidR="002053B7" w:rsidRPr="009D61E7">
        <w:rPr>
          <w:rFonts w:ascii="Times New Roman" w:hAnsi="Times New Roman" w:cs="Times New Roman"/>
          <w:sz w:val="22"/>
          <w:szCs w:val="22"/>
        </w:rPr>
        <w:t xml:space="preserve">realizirana u iznosu </w:t>
      </w:r>
      <w:r w:rsidR="002053B7" w:rsidRPr="00EE7FBB">
        <w:rPr>
          <w:rFonts w:ascii="Times New Roman" w:hAnsi="Times New Roman" w:cs="Times New Roman"/>
          <w:sz w:val="22"/>
          <w:szCs w:val="22"/>
        </w:rPr>
        <w:t xml:space="preserve">od </w:t>
      </w:r>
      <w:r w:rsidR="00D07A31" w:rsidRPr="00EE7FBB">
        <w:rPr>
          <w:rFonts w:ascii="Times New Roman" w:hAnsi="Times New Roman" w:cs="Times New Roman"/>
          <w:sz w:val="22"/>
          <w:szCs w:val="22"/>
        </w:rPr>
        <w:t>100.468,13</w:t>
      </w:r>
      <w:r w:rsidR="009D61E7" w:rsidRPr="00EE7FBB">
        <w:rPr>
          <w:rFonts w:ascii="Times New Roman" w:hAnsi="Times New Roman" w:cs="Times New Roman"/>
          <w:sz w:val="22"/>
          <w:szCs w:val="22"/>
        </w:rPr>
        <w:t xml:space="preserve"> EUR</w:t>
      </w:r>
      <w:r w:rsidRPr="00EE7FBB">
        <w:rPr>
          <w:rFonts w:ascii="Times New Roman" w:hAnsi="Times New Roman" w:cs="Times New Roman"/>
          <w:sz w:val="22"/>
          <w:szCs w:val="22"/>
        </w:rPr>
        <w:t xml:space="preserve"> od ukupno </w:t>
      </w:r>
      <w:r w:rsidR="00D07A31" w:rsidRPr="00EE7FBB">
        <w:rPr>
          <w:rFonts w:ascii="Times New Roman" w:hAnsi="Times New Roman" w:cs="Times New Roman"/>
          <w:sz w:val="22"/>
          <w:szCs w:val="22"/>
        </w:rPr>
        <w:t>243.188,61</w:t>
      </w:r>
      <w:r w:rsidR="009D61E7" w:rsidRPr="00EE7FBB">
        <w:rPr>
          <w:rFonts w:ascii="Times New Roman" w:hAnsi="Times New Roman" w:cs="Times New Roman"/>
          <w:sz w:val="22"/>
          <w:szCs w:val="22"/>
        </w:rPr>
        <w:t xml:space="preserve"> EUR</w:t>
      </w:r>
      <w:r w:rsidRPr="00EE7FBB">
        <w:rPr>
          <w:rFonts w:ascii="Times New Roman" w:hAnsi="Times New Roman" w:cs="Times New Roman"/>
          <w:sz w:val="22"/>
          <w:szCs w:val="22"/>
        </w:rPr>
        <w:t xml:space="preserve"> prihoda podskupine. Osim </w:t>
      </w:r>
      <w:r w:rsidR="00D07A31" w:rsidRPr="00EE7FBB">
        <w:rPr>
          <w:rFonts w:ascii="Times New Roman" w:hAnsi="Times New Roman" w:cs="Times New Roman"/>
          <w:sz w:val="22"/>
          <w:szCs w:val="22"/>
        </w:rPr>
        <w:t>komunaklne naknade</w:t>
      </w:r>
      <w:r w:rsidRPr="00EE7FBB">
        <w:rPr>
          <w:rFonts w:ascii="Times New Roman" w:hAnsi="Times New Roman" w:cs="Times New Roman"/>
          <w:sz w:val="22"/>
          <w:szCs w:val="22"/>
        </w:rPr>
        <w:t xml:space="preserve"> tu ubrajamo i prihode po osnovi </w:t>
      </w:r>
      <w:r w:rsidR="00D07A31" w:rsidRPr="00EE7FBB">
        <w:rPr>
          <w:rFonts w:ascii="Times New Roman" w:hAnsi="Times New Roman" w:cs="Times New Roman"/>
          <w:sz w:val="22"/>
          <w:szCs w:val="22"/>
        </w:rPr>
        <w:t>komunalnog doprinosa</w:t>
      </w:r>
      <w:r w:rsidRPr="00EE7FBB">
        <w:rPr>
          <w:rFonts w:ascii="Times New Roman" w:hAnsi="Times New Roman" w:cs="Times New Roman"/>
          <w:sz w:val="22"/>
          <w:szCs w:val="22"/>
        </w:rPr>
        <w:t xml:space="preserve">, vodni i šumski doprinos, </w:t>
      </w:r>
      <w:r w:rsidR="00D07A31" w:rsidRPr="00EE7FBB">
        <w:rPr>
          <w:rFonts w:ascii="Times New Roman" w:hAnsi="Times New Roman" w:cs="Times New Roman"/>
          <w:sz w:val="22"/>
          <w:szCs w:val="22"/>
        </w:rPr>
        <w:t xml:space="preserve">grobna naknada i trajni zakup, </w:t>
      </w:r>
      <w:r w:rsidRPr="00EE7FBB">
        <w:rPr>
          <w:rFonts w:ascii="Times New Roman" w:hAnsi="Times New Roman" w:cs="Times New Roman"/>
          <w:sz w:val="22"/>
          <w:szCs w:val="22"/>
        </w:rPr>
        <w:t>te druge slične naknade u manjim iznosima.</w:t>
      </w:r>
    </w:p>
    <w:p w14:paraId="7CB93860" w14:textId="77777777" w:rsidR="00EE7FBB" w:rsidRPr="00EE7FBB" w:rsidRDefault="00EE7FBB" w:rsidP="0097484F">
      <w:pPr>
        <w:pStyle w:val="BodyText"/>
        <w:rPr>
          <w:rFonts w:ascii="Times New Roman" w:hAnsi="Times New Roman" w:cs="Times New Roman"/>
          <w:sz w:val="22"/>
          <w:szCs w:val="22"/>
        </w:rPr>
      </w:pPr>
    </w:p>
    <w:p w14:paraId="754964BD" w14:textId="77777777" w:rsidR="00EE7FBB" w:rsidRPr="00EE7FBB" w:rsidRDefault="00EE7FBB" w:rsidP="00EE7FBB">
      <w:pPr>
        <w:spacing w:line="240" w:lineRule="auto"/>
        <w:jc w:val="both"/>
        <w:rPr>
          <w:rFonts w:ascii="Times New Roman" w:hAnsi="Times New Roman"/>
        </w:rPr>
      </w:pPr>
      <w:r w:rsidRPr="00EE7FBB">
        <w:rPr>
          <w:rFonts w:ascii="Times New Roman" w:hAnsi="Times New Roman"/>
        </w:rPr>
        <w:t>Najznačajniji pad bilježe prihodi od komunalnog doprinosa zbog postignutog dogovora naplate potraživanja iz prethodne godine. U tekućoj godini broj novoizdanih rješenja za komunalni doprinos je znatno manji u odnosu na prethodna razdoblja te realizacija navedenog prihoda iznosi 23.835,66 EUR u odnosu na prethodno izvještajno razdoblja kada je realizacija istoga iznosila 224.889,12 EUR.</w:t>
      </w:r>
    </w:p>
    <w:p w14:paraId="5E768FB2" w14:textId="6A785003" w:rsidR="00696C6B" w:rsidRPr="009D61E7" w:rsidRDefault="0097484F" w:rsidP="00696C6B">
      <w:pPr>
        <w:spacing w:after="0" w:line="240" w:lineRule="auto"/>
        <w:ind w:right="70"/>
        <w:jc w:val="both"/>
        <w:rPr>
          <w:rFonts w:ascii="Times New Roman" w:hAnsi="Times New Roman"/>
          <w:b/>
        </w:rPr>
      </w:pPr>
      <w:r w:rsidRPr="00EE7FBB">
        <w:rPr>
          <w:rFonts w:ascii="Times New Roman" w:hAnsi="Times New Roman"/>
        </w:rPr>
        <w:t xml:space="preserve">U </w:t>
      </w:r>
      <w:r w:rsidR="00D06BE8" w:rsidRPr="00EE7FBB">
        <w:rPr>
          <w:rFonts w:ascii="Times New Roman" w:hAnsi="Times New Roman"/>
        </w:rPr>
        <w:t>grafičkom prikazu broj 4</w:t>
      </w:r>
      <w:r w:rsidR="00696C6B" w:rsidRPr="00EE7FBB">
        <w:rPr>
          <w:rFonts w:ascii="Times New Roman" w:hAnsi="Times New Roman"/>
        </w:rPr>
        <w:t xml:space="preserve"> daje se u</w:t>
      </w:r>
      <w:r w:rsidR="00696C6B" w:rsidRPr="00EE7FBB">
        <w:rPr>
          <w:rFonts w:ascii="Times New Roman" w:hAnsi="Times New Roman"/>
          <w:bCs/>
        </w:rPr>
        <w:t xml:space="preserve">sporedni prikaz realizacije </w:t>
      </w:r>
      <w:r w:rsidR="00D06BE8" w:rsidRPr="00EE7FBB">
        <w:rPr>
          <w:rFonts w:ascii="Times New Roman" w:hAnsi="Times New Roman"/>
          <w:bCs/>
        </w:rPr>
        <w:t xml:space="preserve">najznačajnijih </w:t>
      </w:r>
      <w:r w:rsidR="00696C6B" w:rsidRPr="00EE7FBB">
        <w:rPr>
          <w:rFonts w:ascii="Times New Roman" w:hAnsi="Times New Roman"/>
          <w:bCs/>
        </w:rPr>
        <w:t xml:space="preserve">prihoda od upravnih i administrativnih pristojbi u razdoblju </w:t>
      </w:r>
      <w:r w:rsidR="00696C6B" w:rsidRPr="00EE7FBB">
        <w:rPr>
          <w:rFonts w:ascii="Times New Roman" w:hAnsi="Times New Roman"/>
        </w:rPr>
        <w:t xml:space="preserve"> </w:t>
      </w:r>
      <w:r w:rsidR="00696C6B" w:rsidRPr="00EE7FBB">
        <w:rPr>
          <w:rFonts w:ascii="Times New Roman" w:hAnsi="Times New Roman"/>
          <w:bCs/>
        </w:rPr>
        <w:t xml:space="preserve">od 01. siječnja do </w:t>
      </w:r>
      <w:r w:rsidR="0075720A" w:rsidRPr="00EE7FBB">
        <w:rPr>
          <w:rFonts w:ascii="Times New Roman" w:hAnsi="Times New Roman"/>
          <w:bCs/>
        </w:rPr>
        <w:t>31. prosinca</w:t>
      </w:r>
      <w:r w:rsidR="00D06BE8" w:rsidRPr="00EE7FBB">
        <w:rPr>
          <w:rFonts w:ascii="Times New Roman" w:hAnsi="Times New Roman"/>
          <w:bCs/>
        </w:rPr>
        <w:t xml:space="preserve"> 20</w:t>
      </w:r>
      <w:r w:rsidR="003009BF" w:rsidRPr="00EE7FBB">
        <w:rPr>
          <w:rFonts w:ascii="Times New Roman" w:hAnsi="Times New Roman"/>
          <w:bCs/>
        </w:rPr>
        <w:t>2</w:t>
      </w:r>
      <w:r w:rsidR="00D07A31" w:rsidRPr="00EE7FBB">
        <w:rPr>
          <w:rFonts w:ascii="Times New Roman" w:hAnsi="Times New Roman"/>
          <w:bCs/>
        </w:rPr>
        <w:t>5</w:t>
      </w:r>
      <w:r w:rsidR="00696C6B" w:rsidRPr="00EE7FBB">
        <w:rPr>
          <w:rFonts w:ascii="Times New Roman" w:hAnsi="Times New Roman"/>
          <w:bCs/>
        </w:rPr>
        <w:t>. g</w:t>
      </w:r>
      <w:r w:rsidR="002659E3" w:rsidRPr="00EE7FBB">
        <w:rPr>
          <w:rFonts w:ascii="Times New Roman" w:hAnsi="Times New Roman"/>
          <w:bCs/>
        </w:rPr>
        <w:t>odine u odnosu na</w:t>
      </w:r>
      <w:r w:rsidR="002659E3" w:rsidRPr="009D61E7">
        <w:rPr>
          <w:rFonts w:ascii="Times New Roman" w:hAnsi="Times New Roman"/>
          <w:bCs/>
        </w:rPr>
        <w:t xml:space="preserve"> prethodnu 20</w:t>
      </w:r>
      <w:r w:rsidR="007D2715" w:rsidRPr="009D61E7">
        <w:rPr>
          <w:rFonts w:ascii="Times New Roman" w:hAnsi="Times New Roman"/>
          <w:bCs/>
        </w:rPr>
        <w:t>2</w:t>
      </w:r>
      <w:r w:rsidR="00D07A31">
        <w:rPr>
          <w:rFonts w:ascii="Times New Roman" w:hAnsi="Times New Roman"/>
          <w:bCs/>
        </w:rPr>
        <w:t>4</w:t>
      </w:r>
      <w:r w:rsidR="00696C6B" w:rsidRPr="009D61E7">
        <w:rPr>
          <w:rFonts w:ascii="Times New Roman" w:hAnsi="Times New Roman"/>
          <w:bCs/>
        </w:rPr>
        <w:t>. godinu</w:t>
      </w:r>
      <w:r w:rsidRPr="009D61E7">
        <w:rPr>
          <w:rFonts w:ascii="Times New Roman" w:hAnsi="Times New Roman"/>
          <w:bCs/>
        </w:rPr>
        <w:t>.</w:t>
      </w:r>
    </w:p>
    <w:p w14:paraId="05739A2D" w14:textId="77777777" w:rsidR="00696C6B" w:rsidRDefault="00696C6B" w:rsidP="00696C6B">
      <w:pPr>
        <w:spacing w:after="0"/>
        <w:jc w:val="both"/>
        <w:rPr>
          <w:rFonts w:ascii="Times New Roman" w:hAnsi="Times New Roman"/>
          <w:b/>
          <w:sz w:val="24"/>
          <w:szCs w:val="24"/>
        </w:rPr>
      </w:pPr>
    </w:p>
    <w:p w14:paraId="3EEE6326" w14:textId="77777777" w:rsidR="00024400" w:rsidRDefault="00024400" w:rsidP="00696C6B">
      <w:pPr>
        <w:spacing w:after="0"/>
        <w:jc w:val="both"/>
        <w:rPr>
          <w:rFonts w:ascii="Times New Roman" w:hAnsi="Times New Roman"/>
          <w:b/>
          <w:sz w:val="24"/>
          <w:szCs w:val="24"/>
        </w:rPr>
      </w:pPr>
    </w:p>
    <w:p w14:paraId="5A5E887D" w14:textId="77777777" w:rsidR="00024400" w:rsidRDefault="00024400" w:rsidP="00696C6B">
      <w:pPr>
        <w:spacing w:after="0" w:line="240" w:lineRule="auto"/>
        <w:ind w:right="70"/>
        <w:jc w:val="both"/>
        <w:rPr>
          <w:rFonts w:ascii="Times New Roman" w:hAnsi="Times New Roman"/>
          <w:b/>
          <w:i/>
          <w:sz w:val="24"/>
          <w:szCs w:val="24"/>
        </w:rPr>
        <w:sectPr w:rsidR="00024400" w:rsidSect="003D1492">
          <w:pgSz w:w="11906" w:h="16838"/>
          <w:pgMar w:top="1418" w:right="1418" w:bottom="1418" w:left="1418" w:header="708" w:footer="708" w:gutter="0"/>
          <w:cols w:space="708"/>
          <w:docGrid w:linePitch="360"/>
        </w:sectPr>
      </w:pPr>
    </w:p>
    <w:p w14:paraId="77A6FB86" w14:textId="2AE5995A" w:rsidR="00696C6B" w:rsidRPr="009D61E7" w:rsidRDefault="00D06BE8" w:rsidP="00E411C1">
      <w:pPr>
        <w:spacing w:after="0" w:line="240" w:lineRule="auto"/>
        <w:ind w:right="70"/>
        <w:jc w:val="both"/>
        <w:rPr>
          <w:rFonts w:ascii="Times New Roman" w:hAnsi="Times New Roman"/>
          <w:b/>
          <w:i/>
        </w:rPr>
      </w:pPr>
      <w:r w:rsidRPr="009D61E7">
        <w:rPr>
          <w:rFonts w:ascii="Times New Roman" w:hAnsi="Times New Roman"/>
          <w:b/>
          <w:i/>
        </w:rPr>
        <w:lastRenderedPageBreak/>
        <w:t>Grafikon broj 4.</w:t>
      </w:r>
      <w:r w:rsidR="00696C6B" w:rsidRPr="009D61E7">
        <w:rPr>
          <w:rFonts w:ascii="Times New Roman" w:hAnsi="Times New Roman"/>
          <w:b/>
          <w:i/>
        </w:rPr>
        <w:t>:</w:t>
      </w:r>
      <w:r w:rsidR="00696C6B" w:rsidRPr="009D61E7">
        <w:rPr>
          <w:rFonts w:ascii="Times New Roman" w:hAnsi="Times New Roman"/>
          <w:i/>
        </w:rPr>
        <w:t xml:space="preserve"> U</w:t>
      </w:r>
      <w:r w:rsidR="00696C6B" w:rsidRPr="009D61E7">
        <w:rPr>
          <w:rFonts w:ascii="Times New Roman" w:hAnsi="Times New Roman"/>
          <w:bCs/>
          <w:i/>
        </w:rPr>
        <w:t xml:space="preserve">sporedni prikaz realizacije prihoda od upravnih i administrativnih pristojbi u razdoblju </w:t>
      </w:r>
      <w:r w:rsidR="00696C6B" w:rsidRPr="009D61E7">
        <w:rPr>
          <w:rFonts w:ascii="Times New Roman" w:hAnsi="Times New Roman"/>
          <w:i/>
        </w:rPr>
        <w:t xml:space="preserve"> </w:t>
      </w:r>
      <w:r w:rsidR="00696C6B" w:rsidRPr="009D61E7">
        <w:rPr>
          <w:rFonts w:ascii="Times New Roman" w:hAnsi="Times New Roman"/>
          <w:bCs/>
          <w:i/>
        </w:rPr>
        <w:t xml:space="preserve">od 01. siječnja do </w:t>
      </w:r>
      <w:r w:rsidR="0075720A">
        <w:rPr>
          <w:rFonts w:ascii="Times New Roman" w:hAnsi="Times New Roman"/>
          <w:bCs/>
          <w:i/>
        </w:rPr>
        <w:t>31. prosinca</w:t>
      </w:r>
      <w:r w:rsidR="002659E3" w:rsidRPr="009D61E7">
        <w:rPr>
          <w:rFonts w:ascii="Times New Roman" w:hAnsi="Times New Roman"/>
          <w:bCs/>
          <w:i/>
        </w:rPr>
        <w:t xml:space="preserve"> 20</w:t>
      </w:r>
      <w:r w:rsidR="007F7D68" w:rsidRPr="009D61E7">
        <w:rPr>
          <w:rFonts w:ascii="Times New Roman" w:hAnsi="Times New Roman"/>
          <w:bCs/>
          <w:i/>
        </w:rPr>
        <w:t>2</w:t>
      </w:r>
      <w:r w:rsidR="007D5B27">
        <w:rPr>
          <w:rFonts w:ascii="Times New Roman" w:hAnsi="Times New Roman"/>
          <w:bCs/>
          <w:i/>
        </w:rPr>
        <w:t>5</w:t>
      </w:r>
      <w:r w:rsidR="00696C6B" w:rsidRPr="009D61E7">
        <w:rPr>
          <w:rFonts w:ascii="Times New Roman" w:hAnsi="Times New Roman"/>
          <w:bCs/>
          <w:i/>
        </w:rPr>
        <w:t>. g</w:t>
      </w:r>
      <w:r w:rsidRPr="009D61E7">
        <w:rPr>
          <w:rFonts w:ascii="Times New Roman" w:hAnsi="Times New Roman"/>
          <w:bCs/>
          <w:i/>
        </w:rPr>
        <w:t>odine u odnosu na prethodnu 20</w:t>
      </w:r>
      <w:r w:rsidR="00697DDF" w:rsidRPr="009D61E7">
        <w:rPr>
          <w:rFonts w:ascii="Times New Roman" w:hAnsi="Times New Roman"/>
          <w:bCs/>
          <w:i/>
        </w:rPr>
        <w:t>2</w:t>
      </w:r>
      <w:r w:rsidR="007D5B27">
        <w:rPr>
          <w:rFonts w:ascii="Times New Roman" w:hAnsi="Times New Roman"/>
          <w:bCs/>
          <w:i/>
        </w:rPr>
        <w:t>4</w:t>
      </w:r>
      <w:r w:rsidR="00696C6B" w:rsidRPr="009D61E7">
        <w:rPr>
          <w:rFonts w:ascii="Times New Roman" w:hAnsi="Times New Roman"/>
          <w:bCs/>
          <w:i/>
        </w:rPr>
        <w:t>. godinu</w:t>
      </w:r>
      <w:r w:rsidR="00D37D8B" w:rsidRPr="009D61E7">
        <w:rPr>
          <w:rFonts w:ascii="Times New Roman" w:hAnsi="Times New Roman"/>
          <w:bCs/>
          <w:i/>
        </w:rPr>
        <w:t xml:space="preserve">    </w:t>
      </w:r>
    </w:p>
    <w:p w14:paraId="5C0C34E5" w14:textId="688C9693" w:rsidR="00024400" w:rsidRDefault="00024400" w:rsidP="00B41A12">
      <w:pPr>
        <w:pStyle w:val="BodyText"/>
        <w:rPr>
          <w:rFonts w:ascii="Times New Roman" w:hAnsi="Times New Roman" w:cs="Times New Roman"/>
        </w:rPr>
      </w:pPr>
    </w:p>
    <w:p w14:paraId="5B5620B6" w14:textId="77777777" w:rsidR="00024400" w:rsidRDefault="00024400" w:rsidP="00B41A12">
      <w:pPr>
        <w:pStyle w:val="BodyText"/>
        <w:rPr>
          <w:rFonts w:ascii="Times New Roman" w:hAnsi="Times New Roman" w:cs="Times New Roman"/>
        </w:rPr>
      </w:pPr>
    </w:p>
    <w:p w14:paraId="1231D90F" w14:textId="7A37E39A" w:rsidR="0097484F" w:rsidRDefault="008C0558" w:rsidP="00B41A12">
      <w:pPr>
        <w:pStyle w:val="BodyText"/>
        <w:rPr>
          <w:rFonts w:ascii="Times New Roman" w:hAnsi="Times New Roman" w:cs="Times New Roman"/>
        </w:rPr>
        <w:sectPr w:rsidR="0097484F" w:rsidSect="00024400">
          <w:pgSz w:w="16838" w:h="11906" w:orient="landscape"/>
          <w:pgMar w:top="1418" w:right="1418" w:bottom="1418" w:left="1418" w:header="709" w:footer="709" w:gutter="0"/>
          <w:cols w:space="708"/>
          <w:docGrid w:linePitch="360"/>
        </w:sectPr>
      </w:pPr>
      <w:r>
        <w:rPr>
          <w:noProof/>
          <w:lang w:eastAsia="hr-HR"/>
        </w:rPr>
        <w:drawing>
          <wp:inline distT="0" distB="0" distL="0" distR="0" wp14:anchorId="4D23938A" wp14:editId="5D47B2EB">
            <wp:extent cx="9163050" cy="50673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23095C" w14:textId="1EC27575" w:rsidR="008F4384" w:rsidRPr="008F4384" w:rsidRDefault="00013C4B" w:rsidP="008F4384">
      <w:pPr>
        <w:autoSpaceDE w:val="0"/>
        <w:autoSpaceDN w:val="0"/>
        <w:adjustRightInd w:val="0"/>
        <w:spacing w:after="0" w:line="240" w:lineRule="auto"/>
        <w:jc w:val="both"/>
        <w:rPr>
          <w:rFonts w:ascii="Times New Roman" w:hAnsi="Times New Roman"/>
          <w:bCs/>
        </w:rPr>
      </w:pPr>
      <w:r>
        <w:rPr>
          <w:rFonts w:ascii="Times New Roman" w:hAnsi="Times New Roman"/>
          <w:bCs/>
          <w:iCs/>
        </w:rPr>
        <w:lastRenderedPageBreak/>
        <w:t xml:space="preserve">Skupina prihoda </w:t>
      </w:r>
      <w:r>
        <w:rPr>
          <w:rFonts w:ascii="Times New Roman" w:hAnsi="Times New Roman"/>
          <w:b/>
          <w:i/>
          <w:u w:val="single"/>
        </w:rPr>
        <w:t xml:space="preserve">Prihodi od prodaje proizvoda i robe te pruženih usluga, prihodi od donacija te povrati po protestiranim jamstvima </w:t>
      </w:r>
      <w:r w:rsidRPr="00013C4B">
        <w:rPr>
          <w:rFonts w:ascii="Times New Roman" w:hAnsi="Times New Roman"/>
          <w:b/>
          <w:u w:val="single"/>
        </w:rPr>
        <w:t>(66</w:t>
      </w:r>
      <w:r w:rsidRPr="00013C4B">
        <w:rPr>
          <w:rFonts w:ascii="Times New Roman" w:hAnsi="Times New Roman"/>
          <w:b/>
        </w:rPr>
        <w:t>)</w:t>
      </w:r>
      <w:r>
        <w:rPr>
          <w:rFonts w:ascii="Times New Roman" w:hAnsi="Times New Roman"/>
          <w:bCs/>
          <w:iCs/>
        </w:rPr>
        <w:t xml:space="preserve"> u tekućem izvještajnom razdoblju realizirana je u iznosu od </w:t>
      </w:r>
      <w:r w:rsidR="008F4384">
        <w:rPr>
          <w:rFonts w:ascii="Times New Roman" w:hAnsi="Times New Roman"/>
          <w:bCs/>
          <w:iCs/>
        </w:rPr>
        <w:t>4.500,00</w:t>
      </w:r>
      <w:r>
        <w:rPr>
          <w:rFonts w:ascii="Times New Roman" w:hAnsi="Times New Roman"/>
          <w:bCs/>
          <w:iCs/>
        </w:rPr>
        <w:t xml:space="preserve"> EUR u odnosu na prethodno izvještajno razdoblje 2024. godine kada je </w:t>
      </w:r>
      <w:r w:rsidR="008F4384">
        <w:rPr>
          <w:rFonts w:ascii="Times New Roman" w:hAnsi="Times New Roman"/>
          <w:bCs/>
          <w:iCs/>
        </w:rPr>
        <w:t>njihova</w:t>
      </w:r>
      <w:r>
        <w:rPr>
          <w:rFonts w:ascii="Times New Roman" w:hAnsi="Times New Roman"/>
          <w:bCs/>
          <w:iCs/>
        </w:rPr>
        <w:t xml:space="preserve"> realizacija iznosila </w:t>
      </w:r>
      <w:r w:rsidR="008F4384">
        <w:rPr>
          <w:rFonts w:ascii="Times New Roman" w:hAnsi="Times New Roman"/>
          <w:bCs/>
          <w:iCs/>
        </w:rPr>
        <w:t>13.509,26</w:t>
      </w:r>
      <w:r>
        <w:rPr>
          <w:rFonts w:ascii="Times New Roman" w:hAnsi="Times New Roman"/>
          <w:bCs/>
          <w:iCs/>
        </w:rPr>
        <w:t xml:space="preserve"> EUR.</w:t>
      </w:r>
      <w:r w:rsidR="008F4384" w:rsidRPr="008F4384">
        <w:rPr>
          <w:rFonts w:ascii="Times New Roman" w:hAnsi="Times New Roman"/>
          <w:bCs/>
          <w:sz w:val="24"/>
          <w:szCs w:val="24"/>
        </w:rPr>
        <w:t xml:space="preserve"> </w:t>
      </w:r>
      <w:r w:rsidR="008F4384" w:rsidRPr="008F4384">
        <w:rPr>
          <w:rFonts w:ascii="Times New Roman" w:hAnsi="Times New Roman"/>
          <w:bCs/>
        </w:rPr>
        <w:t xml:space="preserve">Navedeni prihodi </w:t>
      </w:r>
      <w:r w:rsidR="008F4384">
        <w:rPr>
          <w:rFonts w:ascii="Times New Roman" w:hAnsi="Times New Roman"/>
          <w:bCs/>
        </w:rPr>
        <w:t xml:space="preserve">u izvještajnom razdoblju </w:t>
      </w:r>
      <w:r w:rsidR="008F4384" w:rsidRPr="008F4384">
        <w:rPr>
          <w:rFonts w:ascii="Times New Roman" w:hAnsi="Times New Roman"/>
          <w:bCs/>
        </w:rPr>
        <w:t>uprihodovani su po prijavljenom projektu „Mali umjetnici područja Oprtlja – Portole“. U prošlom izvještajnom razdoblju navedeni su prihodi bili znatno veći zbog priljeva sredstava nakon zatvaranja udruge koja je djelovala na području Općine.</w:t>
      </w:r>
    </w:p>
    <w:p w14:paraId="53C68477" w14:textId="2621DCDE" w:rsidR="00013C4B" w:rsidRPr="008F4384" w:rsidRDefault="00013C4B" w:rsidP="00013C4B">
      <w:pPr>
        <w:pStyle w:val="BodyText"/>
        <w:rPr>
          <w:rFonts w:ascii="Times New Roman" w:hAnsi="Times New Roman" w:cs="Times New Roman"/>
          <w:bCs/>
          <w:iCs/>
          <w:sz w:val="22"/>
          <w:szCs w:val="22"/>
        </w:rPr>
      </w:pPr>
    </w:p>
    <w:p w14:paraId="413BC3E4" w14:textId="77777777" w:rsidR="008F4384" w:rsidRPr="008F4384" w:rsidRDefault="00013C4B" w:rsidP="008F4384">
      <w:pPr>
        <w:spacing w:line="240" w:lineRule="auto"/>
        <w:jc w:val="both"/>
        <w:rPr>
          <w:rFonts w:ascii="Times New Roman" w:hAnsi="Times New Roman"/>
        </w:rPr>
      </w:pPr>
      <w:r w:rsidRPr="008F4384">
        <w:rPr>
          <w:rFonts w:ascii="Times New Roman" w:hAnsi="Times New Roman"/>
          <w:bCs/>
          <w:iCs/>
        </w:rPr>
        <w:t xml:space="preserve">Skupina prihoda </w:t>
      </w:r>
      <w:r w:rsidRPr="008F4384">
        <w:rPr>
          <w:rFonts w:ascii="Times New Roman" w:hAnsi="Times New Roman"/>
          <w:b/>
          <w:i/>
          <w:u w:val="single"/>
        </w:rPr>
        <w:t xml:space="preserve">Kazne, upravne mjere i ostali prihodi </w:t>
      </w:r>
      <w:r w:rsidRPr="008F4384">
        <w:rPr>
          <w:rFonts w:ascii="Times New Roman" w:hAnsi="Times New Roman"/>
          <w:b/>
          <w:i/>
        </w:rPr>
        <w:t>(68)</w:t>
      </w:r>
      <w:r w:rsidRPr="008F4384">
        <w:rPr>
          <w:rFonts w:ascii="Times New Roman" w:hAnsi="Times New Roman"/>
          <w:bCs/>
          <w:iCs/>
        </w:rPr>
        <w:t xml:space="preserve"> </w:t>
      </w:r>
      <w:r w:rsidR="008F4384" w:rsidRPr="008F4384">
        <w:rPr>
          <w:rFonts w:ascii="Times New Roman" w:hAnsi="Times New Roman"/>
          <w:bCs/>
        </w:rPr>
        <w:t>predstavljaju znatno povećanje u odnosu na prethodno izvještajno razdoblje i iznose 7.621,59 EUR. U najvećem dijelu n</w:t>
      </w:r>
      <w:r w:rsidR="008F4384" w:rsidRPr="008F4384">
        <w:rPr>
          <w:rFonts w:ascii="Times New Roman" w:hAnsi="Times New Roman"/>
        </w:rPr>
        <w:t>avedeno povećanje se prvenstveno odnosi na uprihodovanja zbog razvrgnuća suvlasništva nad imovinom u korist Općine.</w:t>
      </w:r>
    </w:p>
    <w:p w14:paraId="3177961C" w14:textId="77777777" w:rsidR="00013C4B" w:rsidRDefault="00013C4B" w:rsidP="004E3860">
      <w:pPr>
        <w:pStyle w:val="BodyText"/>
        <w:rPr>
          <w:rFonts w:ascii="Times New Roman" w:hAnsi="Times New Roman" w:cs="Times New Roman"/>
          <w:b/>
          <w:i/>
          <w:sz w:val="22"/>
          <w:szCs w:val="22"/>
          <w:u w:val="single"/>
        </w:rPr>
      </w:pPr>
    </w:p>
    <w:p w14:paraId="04D708CD" w14:textId="77777777" w:rsidR="00217246" w:rsidRDefault="004E3860" w:rsidP="00217246">
      <w:pPr>
        <w:autoSpaceDE w:val="0"/>
        <w:autoSpaceDN w:val="0"/>
        <w:adjustRightInd w:val="0"/>
        <w:spacing w:after="0" w:line="240" w:lineRule="auto"/>
        <w:jc w:val="both"/>
        <w:rPr>
          <w:rFonts w:ascii="Times New Roman" w:hAnsi="Times New Roman"/>
        </w:rPr>
      </w:pPr>
      <w:r w:rsidRPr="00217246">
        <w:rPr>
          <w:rFonts w:ascii="Times New Roman" w:hAnsi="Times New Roman"/>
          <w:b/>
          <w:i/>
          <w:u w:val="single"/>
        </w:rPr>
        <w:t>Skupinu konta razreda (7)</w:t>
      </w:r>
      <w:r w:rsidRPr="00217246">
        <w:rPr>
          <w:rFonts w:ascii="Times New Roman" w:hAnsi="Times New Roman"/>
        </w:rPr>
        <w:t xml:space="preserve"> </w:t>
      </w:r>
      <w:r w:rsidR="00217246" w:rsidRPr="00217246">
        <w:rPr>
          <w:rFonts w:ascii="Times New Roman" w:hAnsi="Times New Roman"/>
        </w:rPr>
        <w:t xml:space="preserve">Prihodi od prodaje nefinancijske imovine ostvareni su u iznosu 172.257,31 EUR  što u odnosu na prethodno izvještajno razdoblje čine povećanje za više od dva puta. </w:t>
      </w:r>
    </w:p>
    <w:p w14:paraId="7439E48E" w14:textId="77777777" w:rsidR="00217246" w:rsidRDefault="00217246" w:rsidP="00217246">
      <w:pPr>
        <w:autoSpaceDE w:val="0"/>
        <w:autoSpaceDN w:val="0"/>
        <w:adjustRightInd w:val="0"/>
        <w:spacing w:after="0" w:line="240" w:lineRule="auto"/>
        <w:jc w:val="both"/>
        <w:rPr>
          <w:rFonts w:ascii="Times New Roman" w:hAnsi="Times New Roman"/>
        </w:rPr>
      </w:pPr>
      <w:r w:rsidRPr="00217246">
        <w:rPr>
          <w:rFonts w:ascii="Times New Roman" w:hAnsi="Times New Roman"/>
        </w:rPr>
        <w:t xml:space="preserve">Ovi prihodi odnose se manjim dijelom na ostvarene prihode od prodaje zemljišta u vlasništvu Republike Hrvatske, a većim dijelom na prihode od prodaje nekretnina u vlasništvu općine.  </w:t>
      </w:r>
    </w:p>
    <w:p w14:paraId="5F530263" w14:textId="6C0211F8" w:rsidR="00217246" w:rsidRPr="00217246" w:rsidRDefault="00217246" w:rsidP="00217246">
      <w:pPr>
        <w:autoSpaceDE w:val="0"/>
        <w:autoSpaceDN w:val="0"/>
        <w:adjustRightInd w:val="0"/>
        <w:spacing w:after="0" w:line="240" w:lineRule="auto"/>
        <w:jc w:val="both"/>
        <w:rPr>
          <w:rFonts w:ascii="Times New Roman" w:hAnsi="Times New Roman"/>
        </w:rPr>
      </w:pPr>
      <w:r w:rsidRPr="00217246">
        <w:rPr>
          <w:rFonts w:ascii="Times New Roman" w:hAnsi="Times New Roman"/>
        </w:rPr>
        <w:t>U tekućem izvještajnom razdoblju naplaćeni su prihodi od prodaje nekretnina u vlasništvu općine na temelju sklopljenih ugovora iz 2024. godine, te u kolovozu tekuće godine sklopljen je vrijednosno značajniji ugovor o prodaji stambenog objekta.</w:t>
      </w:r>
    </w:p>
    <w:p w14:paraId="0E8F7951" w14:textId="77777777" w:rsidR="00217246" w:rsidRDefault="00217246" w:rsidP="00217246">
      <w:pPr>
        <w:autoSpaceDE w:val="0"/>
        <w:autoSpaceDN w:val="0"/>
        <w:adjustRightInd w:val="0"/>
        <w:spacing w:after="0" w:line="240" w:lineRule="auto"/>
        <w:jc w:val="both"/>
        <w:rPr>
          <w:rFonts w:ascii="Times New Roman" w:hAnsi="Times New Roman"/>
          <w:sz w:val="24"/>
          <w:szCs w:val="24"/>
        </w:rPr>
      </w:pPr>
    </w:p>
    <w:p w14:paraId="09CE36EE" w14:textId="49BCD2D1" w:rsidR="00623BDE" w:rsidRPr="008E5D1D" w:rsidRDefault="00623BDE" w:rsidP="00623BDE">
      <w:pPr>
        <w:autoSpaceDE w:val="0"/>
        <w:autoSpaceDN w:val="0"/>
        <w:adjustRightInd w:val="0"/>
        <w:spacing w:after="0" w:line="240" w:lineRule="auto"/>
        <w:jc w:val="both"/>
        <w:rPr>
          <w:rFonts w:ascii="Times New Roman" w:hAnsi="Times New Roman"/>
          <w:sz w:val="24"/>
          <w:szCs w:val="24"/>
        </w:rPr>
      </w:pPr>
      <w:r w:rsidRPr="00C8497E">
        <w:rPr>
          <w:rFonts w:ascii="Times New Roman" w:hAnsi="Times New Roman"/>
          <w:b/>
          <w:i/>
          <w:u w:val="single"/>
        </w:rPr>
        <w:t>Skupinu konta razreda (8)</w:t>
      </w:r>
      <w:r w:rsidRPr="00C8497E">
        <w:rPr>
          <w:rFonts w:ascii="Times New Roman" w:hAnsi="Times New Roman"/>
        </w:rPr>
        <w:t xml:space="preserve"> Primici od financijske imovine i zaduživanja u izvještajnom razdoblju iznos</w:t>
      </w:r>
      <w:r w:rsidR="00397182">
        <w:rPr>
          <w:rFonts w:ascii="Times New Roman" w:hAnsi="Times New Roman"/>
        </w:rPr>
        <w:t>e 3.812,91 EUR i veći su za 45,77</w:t>
      </w:r>
      <w:r w:rsidRPr="00C8497E">
        <w:rPr>
          <w:rFonts w:ascii="Times New Roman" w:hAnsi="Times New Roman"/>
        </w:rPr>
        <w:t xml:space="preserve"> % u odnosu na prethodno razdoblje. Navedeno povećanje se prvenstveno odnosi na povrat zajmova od strane građanstva za kupnju stambene</w:t>
      </w:r>
      <w:r>
        <w:rPr>
          <w:rFonts w:ascii="Times New Roman" w:hAnsi="Times New Roman"/>
          <w:sz w:val="24"/>
          <w:szCs w:val="24"/>
        </w:rPr>
        <w:t xml:space="preserve"> nekretnine.</w:t>
      </w:r>
    </w:p>
    <w:p w14:paraId="1CC76D55" w14:textId="56F710F9" w:rsidR="00B41A12" w:rsidRDefault="00B41A12" w:rsidP="00217246">
      <w:pPr>
        <w:pStyle w:val="BodyText"/>
        <w:rPr>
          <w:rFonts w:ascii="Times New Roman" w:hAnsi="Times New Roman" w:cs="Times New Roman"/>
          <w:sz w:val="22"/>
          <w:szCs w:val="22"/>
        </w:rPr>
      </w:pPr>
    </w:p>
    <w:p w14:paraId="29BA247B" w14:textId="77777777" w:rsidR="00F531E4" w:rsidRPr="00DE6D2B" w:rsidRDefault="00F531E4" w:rsidP="00B41A12">
      <w:pPr>
        <w:pStyle w:val="BodyText"/>
        <w:ind w:firstLine="708"/>
        <w:rPr>
          <w:rFonts w:ascii="Times New Roman" w:hAnsi="Times New Roman" w:cs="Times New Roman"/>
          <w:sz w:val="22"/>
          <w:szCs w:val="22"/>
        </w:rPr>
      </w:pPr>
    </w:p>
    <w:p w14:paraId="65164AEA" w14:textId="77777777" w:rsidR="00F135A6" w:rsidRPr="00DE6D2B" w:rsidRDefault="00F135A6" w:rsidP="009E28D6">
      <w:pPr>
        <w:pStyle w:val="BodyText"/>
        <w:rPr>
          <w:rFonts w:ascii="Times New Roman" w:hAnsi="Times New Roman" w:cs="Times New Roman"/>
          <w:sz w:val="22"/>
          <w:szCs w:val="22"/>
        </w:rPr>
      </w:pPr>
    </w:p>
    <w:p w14:paraId="2344D0BF" w14:textId="71CF8D6F" w:rsidR="00D70E9D" w:rsidRPr="00B95CB0" w:rsidRDefault="001E4B8F" w:rsidP="00F531E4">
      <w:pPr>
        <w:shd w:val="clear" w:color="auto" w:fill="DBE5F1" w:themeFill="accent1" w:themeFillTint="33"/>
        <w:spacing w:after="0" w:line="240" w:lineRule="auto"/>
        <w:jc w:val="both"/>
        <w:rPr>
          <w:rFonts w:ascii="Times New Roman" w:hAnsi="Times New Roman"/>
          <w:b/>
          <w:bCs/>
        </w:rPr>
      </w:pPr>
      <w:r w:rsidRPr="00B95CB0">
        <w:rPr>
          <w:rFonts w:ascii="Times New Roman" w:hAnsi="Times New Roman"/>
          <w:b/>
          <w:bCs/>
        </w:rPr>
        <w:t>2</w:t>
      </w:r>
      <w:r w:rsidR="000A7169" w:rsidRPr="00B95CB0">
        <w:rPr>
          <w:rFonts w:ascii="Times New Roman" w:hAnsi="Times New Roman"/>
          <w:b/>
          <w:bCs/>
        </w:rPr>
        <w:t>.1.2.</w:t>
      </w:r>
      <w:r w:rsidR="00BA06D2" w:rsidRPr="00B95CB0">
        <w:rPr>
          <w:rFonts w:ascii="Times New Roman" w:hAnsi="Times New Roman"/>
          <w:b/>
          <w:bCs/>
        </w:rPr>
        <w:t xml:space="preserve"> </w:t>
      </w:r>
      <w:r w:rsidR="000A7169" w:rsidRPr="00B95CB0">
        <w:rPr>
          <w:rFonts w:ascii="Times New Roman" w:hAnsi="Times New Roman"/>
          <w:b/>
          <w:bCs/>
        </w:rPr>
        <w:t>Obrazloženje ostvarenja rashoda i izdataka</w:t>
      </w:r>
    </w:p>
    <w:p w14:paraId="2208EBC8" w14:textId="17225418" w:rsidR="000675AA" w:rsidRPr="00B95CB0" w:rsidRDefault="000675AA" w:rsidP="009E28D6">
      <w:pPr>
        <w:spacing w:after="0" w:line="240" w:lineRule="auto"/>
        <w:ind w:right="70"/>
        <w:jc w:val="both"/>
        <w:rPr>
          <w:rFonts w:ascii="Times New Roman" w:hAnsi="Times New Roman"/>
        </w:rPr>
      </w:pPr>
      <w:r w:rsidRPr="00B95CB0">
        <w:rPr>
          <w:rFonts w:ascii="Times New Roman" w:hAnsi="Times New Roman"/>
        </w:rPr>
        <w:t xml:space="preserve">Ukupno planirani rashodi poslovanja i rashodi za </w:t>
      </w:r>
      <w:r w:rsidR="0070323F" w:rsidRPr="00B95CB0">
        <w:rPr>
          <w:rFonts w:ascii="Times New Roman" w:hAnsi="Times New Roman"/>
        </w:rPr>
        <w:t>nabavu nefinancijske imovine</w:t>
      </w:r>
      <w:r w:rsidRPr="00B95CB0">
        <w:rPr>
          <w:rFonts w:ascii="Times New Roman" w:hAnsi="Times New Roman"/>
        </w:rPr>
        <w:t xml:space="preserve"> prema </w:t>
      </w:r>
      <w:r w:rsidR="00294BF8" w:rsidRPr="00B95CB0">
        <w:rPr>
          <w:rFonts w:ascii="Times New Roman" w:hAnsi="Times New Roman"/>
        </w:rPr>
        <w:t xml:space="preserve"> I</w:t>
      </w:r>
      <w:r w:rsidR="00B95CB0">
        <w:rPr>
          <w:rFonts w:ascii="Times New Roman" w:hAnsi="Times New Roman"/>
        </w:rPr>
        <w:t>I</w:t>
      </w:r>
      <w:r w:rsidR="00294BF8" w:rsidRPr="00B95CB0">
        <w:rPr>
          <w:rFonts w:ascii="Times New Roman" w:hAnsi="Times New Roman"/>
        </w:rPr>
        <w:t xml:space="preserve">. Izmjenama i dopunama proračuna </w:t>
      </w:r>
      <w:r w:rsidRPr="00B95CB0">
        <w:rPr>
          <w:rFonts w:ascii="Times New Roman" w:hAnsi="Times New Roman"/>
        </w:rPr>
        <w:t xml:space="preserve">Općine </w:t>
      </w:r>
      <w:r w:rsidR="00711484" w:rsidRPr="00B95CB0">
        <w:rPr>
          <w:rFonts w:ascii="Times New Roman" w:hAnsi="Times New Roman"/>
        </w:rPr>
        <w:t xml:space="preserve">Oprtalj za </w:t>
      </w:r>
      <w:r w:rsidR="00ED53E6" w:rsidRPr="00B95CB0">
        <w:rPr>
          <w:rFonts w:ascii="Times New Roman" w:hAnsi="Times New Roman"/>
        </w:rPr>
        <w:t>20</w:t>
      </w:r>
      <w:r w:rsidR="000E39A4" w:rsidRPr="00B95CB0">
        <w:rPr>
          <w:rFonts w:ascii="Times New Roman" w:hAnsi="Times New Roman"/>
        </w:rPr>
        <w:t>2</w:t>
      </w:r>
      <w:r w:rsidR="00B95CB0">
        <w:rPr>
          <w:rFonts w:ascii="Times New Roman" w:hAnsi="Times New Roman"/>
        </w:rPr>
        <w:t>5</w:t>
      </w:r>
      <w:r w:rsidRPr="00B95CB0">
        <w:rPr>
          <w:rFonts w:ascii="Times New Roman" w:hAnsi="Times New Roman"/>
        </w:rPr>
        <w:t xml:space="preserve">. godinu iznose </w:t>
      </w:r>
      <w:r w:rsidR="00B95CB0">
        <w:rPr>
          <w:rFonts w:ascii="Times New Roman" w:hAnsi="Times New Roman"/>
        </w:rPr>
        <w:t>1.360.707,23</w:t>
      </w:r>
      <w:r w:rsidR="00DE6D2B" w:rsidRPr="00B95CB0">
        <w:rPr>
          <w:rFonts w:ascii="Times New Roman" w:hAnsi="Times New Roman"/>
        </w:rPr>
        <w:t xml:space="preserve"> EUR</w:t>
      </w:r>
      <w:r w:rsidR="00294BF8" w:rsidRPr="00B95CB0">
        <w:rPr>
          <w:rFonts w:ascii="Times New Roman" w:hAnsi="Times New Roman"/>
        </w:rPr>
        <w:t xml:space="preserve">. Izvršenje navedenih rashoda u izvještajnom razdoblju iznosi </w:t>
      </w:r>
      <w:r w:rsidR="00B95CB0">
        <w:rPr>
          <w:rFonts w:ascii="Times New Roman" w:hAnsi="Times New Roman"/>
        </w:rPr>
        <w:t>1.325.757,09</w:t>
      </w:r>
      <w:r w:rsidR="00294BF8" w:rsidRPr="00B95CB0">
        <w:rPr>
          <w:rFonts w:ascii="Times New Roman" w:hAnsi="Times New Roman"/>
        </w:rPr>
        <w:t xml:space="preserve"> EUR, </w:t>
      </w:r>
      <w:r w:rsidRPr="00B95CB0">
        <w:rPr>
          <w:rFonts w:ascii="Times New Roman" w:hAnsi="Times New Roman"/>
        </w:rPr>
        <w:t xml:space="preserve"> a sastoj</w:t>
      </w:r>
      <w:r w:rsidR="00294BF8" w:rsidRPr="00B95CB0">
        <w:rPr>
          <w:rFonts w:ascii="Times New Roman" w:hAnsi="Times New Roman"/>
        </w:rPr>
        <w:t>i</w:t>
      </w:r>
      <w:r w:rsidRPr="00B95CB0">
        <w:rPr>
          <w:rFonts w:ascii="Times New Roman" w:hAnsi="Times New Roman"/>
        </w:rPr>
        <w:t xml:space="preserve"> se od rashoda poslovanja skupina 3 u iznosu od </w:t>
      </w:r>
      <w:r w:rsidR="00B95CB0">
        <w:rPr>
          <w:rFonts w:ascii="Times New Roman" w:hAnsi="Times New Roman"/>
        </w:rPr>
        <w:t>1.044.651,86</w:t>
      </w:r>
      <w:r w:rsidR="00DE6D2B" w:rsidRPr="00B95CB0">
        <w:rPr>
          <w:rFonts w:ascii="Times New Roman" w:hAnsi="Times New Roman"/>
        </w:rPr>
        <w:t xml:space="preserve"> EUR</w:t>
      </w:r>
      <w:r w:rsidRPr="00B95CB0">
        <w:rPr>
          <w:rFonts w:ascii="Times New Roman" w:hAnsi="Times New Roman"/>
        </w:rPr>
        <w:t xml:space="preserve"> i rashoda za nefinancijsku imovinu skupina 4 u iznosu od </w:t>
      </w:r>
      <w:r w:rsidR="00B95CB0">
        <w:rPr>
          <w:rFonts w:ascii="Times New Roman" w:hAnsi="Times New Roman"/>
        </w:rPr>
        <w:t>281.105,23</w:t>
      </w:r>
      <w:r w:rsidR="00DE6D2B" w:rsidRPr="00B95CB0">
        <w:rPr>
          <w:rFonts w:ascii="Times New Roman" w:hAnsi="Times New Roman"/>
        </w:rPr>
        <w:t xml:space="preserve"> EUR</w:t>
      </w:r>
      <w:r w:rsidRPr="00B95CB0">
        <w:rPr>
          <w:rFonts w:ascii="Times New Roman" w:hAnsi="Times New Roman"/>
        </w:rPr>
        <w:t xml:space="preserve">. Izdaci za financijsku imovinu i otplatu zajmova </w:t>
      </w:r>
      <w:r w:rsidR="00711484" w:rsidRPr="00B95CB0">
        <w:rPr>
          <w:rFonts w:ascii="Times New Roman" w:hAnsi="Times New Roman"/>
        </w:rPr>
        <w:t xml:space="preserve">planirani su u iznosu od </w:t>
      </w:r>
      <w:r w:rsidR="00B95CB0">
        <w:rPr>
          <w:rFonts w:ascii="Times New Roman" w:hAnsi="Times New Roman"/>
        </w:rPr>
        <w:t>75.910,00</w:t>
      </w:r>
      <w:r w:rsidR="00DE6D2B" w:rsidRPr="00B95CB0">
        <w:rPr>
          <w:rFonts w:ascii="Times New Roman" w:hAnsi="Times New Roman"/>
        </w:rPr>
        <w:t xml:space="preserve"> EUR</w:t>
      </w:r>
      <w:r w:rsidR="00B95CB0">
        <w:rPr>
          <w:rFonts w:ascii="Times New Roman" w:hAnsi="Times New Roman"/>
        </w:rPr>
        <w:t>,  a isti su realizirani u iznosu od 75.041,52 EUR</w:t>
      </w:r>
      <w:r w:rsidRPr="00B95CB0">
        <w:rPr>
          <w:rFonts w:ascii="Times New Roman" w:hAnsi="Times New Roman"/>
        </w:rPr>
        <w:t>.</w:t>
      </w:r>
    </w:p>
    <w:p w14:paraId="4B4A1A91" w14:textId="77777777" w:rsidR="000675AA" w:rsidRPr="00B95CB0" w:rsidRDefault="000675AA" w:rsidP="009E28D6">
      <w:pPr>
        <w:spacing w:after="0" w:line="240" w:lineRule="auto"/>
        <w:ind w:right="70"/>
        <w:jc w:val="both"/>
        <w:rPr>
          <w:rFonts w:ascii="Times New Roman" w:hAnsi="Times New Roman"/>
        </w:rPr>
      </w:pPr>
    </w:p>
    <w:p w14:paraId="74EA0E61" w14:textId="1534BD55" w:rsidR="000675AA" w:rsidRPr="00DE6D2B" w:rsidRDefault="000675AA" w:rsidP="009E28D6">
      <w:pPr>
        <w:spacing w:after="0" w:line="240" w:lineRule="auto"/>
        <w:ind w:right="70"/>
        <w:jc w:val="both"/>
        <w:rPr>
          <w:rFonts w:ascii="Times New Roman" w:hAnsi="Times New Roman"/>
        </w:rPr>
      </w:pPr>
      <w:r w:rsidRPr="00B95CB0">
        <w:rPr>
          <w:rFonts w:ascii="Times New Roman" w:hAnsi="Times New Roman"/>
        </w:rPr>
        <w:t xml:space="preserve">Sukladno članku </w:t>
      </w:r>
      <w:r w:rsidR="00CF721E" w:rsidRPr="00B95CB0">
        <w:rPr>
          <w:rFonts w:ascii="Times New Roman" w:hAnsi="Times New Roman"/>
        </w:rPr>
        <w:t>42</w:t>
      </w:r>
      <w:r w:rsidRPr="00B95CB0">
        <w:rPr>
          <w:rFonts w:ascii="Times New Roman" w:hAnsi="Times New Roman"/>
        </w:rPr>
        <w:t xml:space="preserve">. Zakona o proračunu </w:t>
      </w:r>
      <w:r w:rsidR="00413B7C">
        <w:rPr>
          <w:rFonts w:ascii="Times New Roman" w:hAnsi="Times New Roman"/>
        </w:rPr>
        <w:t>Proračun</w:t>
      </w:r>
      <w:r w:rsidR="00ED53E6" w:rsidRPr="00B95CB0">
        <w:rPr>
          <w:rFonts w:ascii="Times New Roman" w:hAnsi="Times New Roman"/>
        </w:rPr>
        <w:t xml:space="preserve"> Općine Oprtalj za 20</w:t>
      </w:r>
      <w:r w:rsidR="000E39A4" w:rsidRPr="00B95CB0">
        <w:rPr>
          <w:rFonts w:ascii="Times New Roman" w:hAnsi="Times New Roman"/>
        </w:rPr>
        <w:t>2</w:t>
      </w:r>
      <w:r w:rsidR="00413B7C">
        <w:rPr>
          <w:rFonts w:ascii="Times New Roman" w:hAnsi="Times New Roman"/>
        </w:rPr>
        <w:t>5</w:t>
      </w:r>
      <w:r w:rsidR="009E1297" w:rsidRPr="00B95CB0">
        <w:rPr>
          <w:rFonts w:ascii="Times New Roman" w:hAnsi="Times New Roman"/>
        </w:rPr>
        <w:t>. godinu donesen je na razinu</w:t>
      </w:r>
      <w:r w:rsidRPr="00B95CB0">
        <w:rPr>
          <w:rFonts w:ascii="Times New Roman" w:hAnsi="Times New Roman"/>
        </w:rPr>
        <w:t xml:space="preserve"> skupine (</w:t>
      </w:r>
      <w:r w:rsidR="00CF721E" w:rsidRPr="00B95CB0">
        <w:rPr>
          <w:rFonts w:ascii="Times New Roman" w:hAnsi="Times New Roman"/>
        </w:rPr>
        <w:t>druga</w:t>
      </w:r>
      <w:r w:rsidRPr="00B95CB0">
        <w:rPr>
          <w:rFonts w:ascii="Times New Roman" w:hAnsi="Times New Roman"/>
        </w:rPr>
        <w:t xml:space="preserve"> razina) ekonomske klasifikacije. Izvršenje proračuna prikazano je na razini odjeljka (četvrta razina) unutar programa u posebnom dijelu proračuna, sukladno članku </w:t>
      </w:r>
      <w:r w:rsidR="00CF721E" w:rsidRPr="00B95CB0">
        <w:rPr>
          <w:rFonts w:ascii="Times New Roman" w:hAnsi="Times New Roman"/>
        </w:rPr>
        <w:t>76</w:t>
      </w:r>
      <w:r w:rsidRPr="00B95CB0">
        <w:rPr>
          <w:rFonts w:ascii="Times New Roman" w:hAnsi="Times New Roman"/>
        </w:rPr>
        <w:t xml:space="preserve">. Zakona o </w:t>
      </w:r>
      <w:r w:rsidRPr="00DE6D2B">
        <w:rPr>
          <w:rFonts w:ascii="Times New Roman" w:hAnsi="Times New Roman"/>
        </w:rPr>
        <w:t>proračunu.</w:t>
      </w:r>
    </w:p>
    <w:p w14:paraId="52369A0C" w14:textId="77777777" w:rsidR="00A45D13" w:rsidRPr="00DE6D2B" w:rsidRDefault="00A45D13" w:rsidP="009E28D6">
      <w:pPr>
        <w:spacing w:after="0" w:line="240" w:lineRule="auto"/>
        <w:ind w:right="70"/>
        <w:jc w:val="both"/>
        <w:rPr>
          <w:rFonts w:ascii="Times New Roman" w:hAnsi="Times New Roman"/>
        </w:rPr>
      </w:pPr>
    </w:p>
    <w:p w14:paraId="60B390EE" w14:textId="77777777" w:rsidR="00413B7C" w:rsidRPr="00BA11B9" w:rsidRDefault="00413B7C" w:rsidP="00413B7C">
      <w:pPr>
        <w:autoSpaceDE w:val="0"/>
        <w:autoSpaceDN w:val="0"/>
        <w:adjustRightInd w:val="0"/>
        <w:spacing w:after="0" w:line="240" w:lineRule="auto"/>
        <w:jc w:val="both"/>
        <w:rPr>
          <w:rFonts w:ascii="Times New Roman" w:eastAsiaTheme="minorHAnsi" w:hAnsi="Times New Roman"/>
          <w:b/>
          <w:bCs/>
          <w:lang w:eastAsia="en-US"/>
        </w:rPr>
      </w:pPr>
      <w:r w:rsidRPr="00F10507">
        <w:rPr>
          <w:rFonts w:ascii="Times New Roman" w:eastAsiaTheme="minorHAnsi" w:hAnsi="Times New Roman"/>
          <w:b/>
          <w:bCs/>
          <w:lang w:eastAsia="en-US"/>
        </w:rPr>
        <w:t xml:space="preserve">RASHODI </w:t>
      </w:r>
      <w:r>
        <w:rPr>
          <w:rFonts w:ascii="Times New Roman" w:eastAsiaTheme="minorHAnsi" w:hAnsi="Times New Roman"/>
          <w:b/>
          <w:bCs/>
          <w:lang w:eastAsia="en-US"/>
        </w:rPr>
        <w:t>POSLOVANJA</w:t>
      </w:r>
    </w:p>
    <w:p w14:paraId="63CBE29C"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b/>
          <w:bCs/>
          <w:i/>
          <w:lang w:eastAsia="en-US"/>
        </w:rPr>
      </w:pPr>
      <w:r w:rsidRPr="00CF721E">
        <w:rPr>
          <w:rFonts w:ascii="Times New Roman" w:eastAsiaTheme="minorHAnsi" w:hAnsi="Times New Roman"/>
          <w:b/>
          <w:bCs/>
          <w:i/>
          <w:lang w:eastAsia="en-US"/>
        </w:rPr>
        <w:t>Rashodi za zaposlene</w:t>
      </w:r>
    </w:p>
    <w:p w14:paraId="1FC166F2" w14:textId="44DA6CEC" w:rsidR="00413B7C" w:rsidRPr="00CF721E"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CF721E">
        <w:rPr>
          <w:rFonts w:ascii="Times New Roman" w:eastAsiaTheme="minorHAnsi" w:hAnsi="Times New Roman"/>
          <w:lang w:eastAsia="en-US"/>
        </w:rPr>
        <w:t xml:space="preserve">Rashodi za zaposlene u </w:t>
      </w:r>
      <w:r>
        <w:rPr>
          <w:rFonts w:ascii="Times New Roman" w:eastAsiaTheme="minorHAnsi" w:hAnsi="Times New Roman"/>
          <w:lang w:eastAsia="en-US"/>
        </w:rPr>
        <w:t>2025. godini</w:t>
      </w:r>
      <w:r w:rsidRPr="00CF721E">
        <w:rPr>
          <w:rFonts w:ascii="Times New Roman" w:eastAsiaTheme="minorHAnsi" w:hAnsi="Times New Roman"/>
          <w:lang w:eastAsia="en-US"/>
        </w:rPr>
        <w:t xml:space="preserve"> realizirani su u iznosu od </w:t>
      </w:r>
      <w:r w:rsidR="00022DD3">
        <w:rPr>
          <w:rFonts w:ascii="Times New Roman" w:eastAsiaTheme="minorHAnsi" w:hAnsi="Times New Roman"/>
          <w:lang w:eastAsia="en-US"/>
        </w:rPr>
        <w:t>141.125,72</w:t>
      </w:r>
      <w:r w:rsidRPr="00CF721E">
        <w:rPr>
          <w:rFonts w:ascii="Times New Roman" w:eastAsiaTheme="minorHAnsi" w:hAnsi="Times New Roman"/>
          <w:lang w:eastAsia="en-US"/>
        </w:rPr>
        <w:t xml:space="preserve"> EUR a odnose se na rashode za zaposlene u Jedinstvenom upravnom odjelu, plaće načelnika odnosno izvršne vlasti. Rashodi za zaposlene obuhvaćaju bruto plaće, doprinose na plaće i ostale rashode za zaposlene.</w:t>
      </w:r>
      <w:r>
        <w:rPr>
          <w:rFonts w:ascii="Times New Roman" w:eastAsiaTheme="minorHAnsi" w:hAnsi="Times New Roman"/>
          <w:lang w:eastAsia="en-US"/>
        </w:rPr>
        <w:t xml:space="preserve"> Navedeni su rashodi veći u odnosu na pret</w:t>
      </w:r>
      <w:r w:rsidR="00022DD3">
        <w:rPr>
          <w:rFonts w:ascii="Times New Roman" w:eastAsiaTheme="minorHAnsi" w:hAnsi="Times New Roman"/>
          <w:lang w:eastAsia="en-US"/>
        </w:rPr>
        <w:t>hodno izvještajno razdoblje 2024</w:t>
      </w:r>
      <w:r>
        <w:rPr>
          <w:rFonts w:ascii="Times New Roman" w:eastAsiaTheme="minorHAnsi" w:hAnsi="Times New Roman"/>
          <w:lang w:eastAsia="en-US"/>
        </w:rPr>
        <w:t xml:space="preserve">. godine za </w:t>
      </w:r>
      <w:r w:rsidR="00022DD3">
        <w:rPr>
          <w:rFonts w:ascii="Times New Roman" w:eastAsiaTheme="minorHAnsi" w:hAnsi="Times New Roman"/>
          <w:lang w:eastAsia="en-US"/>
        </w:rPr>
        <w:t>10,48 %</w:t>
      </w:r>
      <w:r>
        <w:rPr>
          <w:rFonts w:ascii="Times New Roman" w:eastAsiaTheme="minorHAnsi" w:hAnsi="Times New Roman"/>
          <w:lang w:eastAsia="en-US"/>
        </w:rPr>
        <w:t xml:space="preserve"> zbog povećanje plaća izvršne vlasti, te službenika i namještenika Jedinstvenog upravnog odjela.</w:t>
      </w:r>
    </w:p>
    <w:p w14:paraId="59971772" w14:textId="77777777" w:rsidR="00413B7C" w:rsidRPr="00CF721E" w:rsidRDefault="00413B7C" w:rsidP="00413B7C">
      <w:pPr>
        <w:pStyle w:val="Default"/>
        <w:rPr>
          <w:rFonts w:ascii="Times New Roman" w:hAnsi="Times New Roman" w:cs="Times New Roman"/>
          <w:b/>
          <w:sz w:val="22"/>
          <w:szCs w:val="22"/>
        </w:rPr>
      </w:pPr>
    </w:p>
    <w:p w14:paraId="146B5FD6"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b/>
          <w:bCs/>
          <w:i/>
          <w:lang w:eastAsia="en-US"/>
        </w:rPr>
      </w:pPr>
      <w:r w:rsidRPr="00CF721E">
        <w:rPr>
          <w:rFonts w:ascii="Times New Roman" w:eastAsiaTheme="minorHAnsi" w:hAnsi="Times New Roman"/>
          <w:b/>
          <w:bCs/>
          <w:i/>
          <w:lang w:eastAsia="en-US"/>
        </w:rPr>
        <w:t>Materijalni rashodi</w:t>
      </w:r>
    </w:p>
    <w:p w14:paraId="76484C09" w14:textId="7031756C" w:rsidR="00413B7C" w:rsidRPr="00CF721E"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CF721E">
        <w:rPr>
          <w:rFonts w:ascii="Times New Roman" w:eastAsiaTheme="minorHAnsi" w:hAnsi="Times New Roman"/>
          <w:lang w:eastAsia="en-US"/>
        </w:rPr>
        <w:t xml:space="preserve">Materijalni rashodi u razdoblju od 01. siječnja do </w:t>
      </w:r>
      <w:r w:rsidR="00022DD3">
        <w:rPr>
          <w:rFonts w:ascii="Times New Roman" w:eastAsiaTheme="minorHAnsi" w:hAnsi="Times New Roman"/>
          <w:lang w:eastAsia="en-US"/>
        </w:rPr>
        <w:t>31. prosinca</w:t>
      </w:r>
      <w:r w:rsidRPr="00CF721E">
        <w:rPr>
          <w:rFonts w:ascii="Times New Roman" w:eastAsiaTheme="minorHAnsi" w:hAnsi="Times New Roman"/>
          <w:lang w:eastAsia="en-US"/>
        </w:rPr>
        <w:t xml:space="preserve"> 202</w:t>
      </w:r>
      <w:r>
        <w:rPr>
          <w:rFonts w:ascii="Times New Roman" w:eastAsiaTheme="minorHAnsi" w:hAnsi="Times New Roman"/>
          <w:lang w:eastAsia="en-US"/>
        </w:rPr>
        <w:t>5</w:t>
      </w:r>
      <w:r w:rsidRPr="00CF721E">
        <w:rPr>
          <w:rFonts w:ascii="Times New Roman" w:eastAsiaTheme="minorHAnsi" w:hAnsi="Times New Roman"/>
          <w:lang w:eastAsia="en-US"/>
        </w:rPr>
        <w:t xml:space="preserve">. godine realizirani su u iznosu od </w:t>
      </w:r>
      <w:r w:rsidR="00022DD3">
        <w:rPr>
          <w:rFonts w:ascii="Times New Roman" w:eastAsiaTheme="minorHAnsi" w:hAnsi="Times New Roman"/>
          <w:lang w:eastAsia="en-US"/>
        </w:rPr>
        <w:t>505.544,04</w:t>
      </w:r>
      <w:r w:rsidRPr="00CF721E">
        <w:rPr>
          <w:rFonts w:ascii="Times New Roman" w:eastAsiaTheme="minorHAnsi" w:hAnsi="Times New Roman"/>
          <w:lang w:eastAsia="en-US"/>
        </w:rPr>
        <w:t xml:space="preserve"> EUR, a odnose se na rashode za izvršavanje programskih aktivnosti i redovno poslovanje općinske uprave.</w:t>
      </w:r>
      <w:r>
        <w:rPr>
          <w:rFonts w:ascii="Times New Roman" w:eastAsiaTheme="minorHAnsi" w:hAnsi="Times New Roman"/>
          <w:lang w:eastAsia="en-US"/>
        </w:rPr>
        <w:t xml:space="preserve"> </w:t>
      </w:r>
      <w:r w:rsidR="00022DD3">
        <w:rPr>
          <w:rFonts w:ascii="Times New Roman" w:eastAsiaTheme="minorHAnsi" w:hAnsi="Times New Roman"/>
          <w:lang w:eastAsia="en-US"/>
        </w:rPr>
        <w:t>Navedeni su rashodi veći za 39,47 % u odnosu na prethodno izvještajno razdoblje</w:t>
      </w:r>
      <w:r>
        <w:rPr>
          <w:rFonts w:ascii="Times New Roman" w:eastAsiaTheme="minorHAnsi" w:hAnsi="Times New Roman"/>
          <w:lang w:eastAsia="en-US"/>
        </w:rPr>
        <w:t>.</w:t>
      </w:r>
    </w:p>
    <w:p w14:paraId="4E99F76B"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2C3C29FE" w14:textId="77777777" w:rsidR="00022DD3" w:rsidRDefault="00022DD3" w:rsidP="00413B7C">
      <w:pPr>
        <w:autoSpaceDE w:val="0"/>
        <w:autoSpaceDN w:val="0"/>
        <w:adjustRightInd w:val="0"/>
        <w:spacing w:after="0" w:line="240" w:lineRule="auto"/>
        <w:jc w:val="both"/>
        <w:rPr>
          <w:rFonts w:ascii="Times New Roman" w:eastAsiaTheme="minorHAnsi" w:hAnsi="Times New Roman"/>
          <w:lang w:eastAsia="en-US"/>
        </w:rPr>
      </w:pPr>
    </w:p>
    <w:p w14:paraId="1B23C11A" w14:textId="77777777" w:rsidR="00022DD3" w:rsidRDefault="00022DD3" w:rsidP="00413B7C">
      <w:pPr>
        <w:autoSpaceDE w:val="0"/>
        <w:autoSpaceDN w:val="0"/>
        <w:adjustRightInd w:val="0"/>
        <w:spacing w:after="0" w:line="240" w:lineRule="auto"/>
        <w:jc w:val="both"/>
        <w:rPr>
          <w:rFonts w:ascii="Times New Roman" w:eastAsiaTheme="minorHAnsi" w:hAnsi="Times New Roman"/>
          <w:lang w:eastAsia="en-US"/>
        </w:rPr>
      </w:pPr>
    </w:p>
    <w:p w14:paraId="45B3D564" w14:textId="77777777" w:rsidR="00022DD3" w:rsidRDefault="00022DD3" w:rsidP="00413B7C">
      <w:pPr>
        <w:autoSpaceDE w:val="0"/>
        <w:autoSpaceDN w:val="0"/>
        <w:adjustRightInd w:val="0"/>
        <w:spacing w:after="0" w:line="240" w:lineRule="auto"/>
        <w:jc w:val="both"/>
        <w:rPr>
          <w:rFonts w:ascii="Times New Roman" w:eastAsiaTheme="minorHAnsi" w:hAnsi="Times New Roman"/>
          <w:lang w:eastAsia="en-US"/>
        </w:rPr>
      </w:pPr>
    </w:p>
    <w:p w14:paraId="03B5B158" w14:textId="7FFB6701" w:rsidR="00413B7C" w:rsidRPr="00CF721E"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CF721E">
        <w:rPr>
          <w:rFonts w:ascii="Times New Roman" w:eastAsiaTheme="minorHAnsi" w:hAnsi="Times New Roman"/>
          <w:lang w:eastAsia="en-US"/>
        </w:rPr>
        <w:lastRenderedPageBreak/>
        <w:t xml:space="preserve">U strukturi materijalnih rashoda iznos od </w:t>
      </w:r>
      <w:r w:rsidR="00022DD3">
        <w:rPr>
          <w:rFonts w:ascii="Times New Roman" w:eastAsiaTheme="minorHAnsi" w:hAnsi="Times New Roman"/>
          <w:lang w:eastAsia="en-US"/>
        </w:rPr>
        <w:t>1.664,55</w:t>
      </w:r>
      <w:r w:rsidRPr="00CF721E">
        <w:rPr>
          <w:rFonts w:ascii="Times New Roman" w:eastAsiaTheme="minorHAnsi" w:hAnsi="Times New Roman"/>
          <w:lang w:eastAsia="en-US"/>
        </w:rPr>
        <w:t xml:space="preserve"> EUR odnosi se na Naknade troškova zaposlenika. U ovoj skupini rashoda prikazani su utrošci sredstava u </w:t>
      </w:r>
      <w:r w:rsidR="00022DD3">
        <w:rPr>
          <w:rFonts w:ascii="Times New Roman" w:eastAsiaTheme="minorHAnsi" w:hAnsi="Times New Roman"/>
          <w:lang w:eastAsia="en-US"/>
        </w:rPr>
        <w:t>2025. godini</w:t>
      </w:r>
      <w:r w:rsidRPr="00CF721E">
        <w:rPr>
          <w:rFonts w:ascii="Times New Roman" w:eastAsiaTheme="minorHAnsi" w:hAnsi="Times New Roman"/>
          <w:lang w:eastAsia="en-US"/>
        </w:rPr>
        <w:t xml:space="preserve"> za službena putovanja, naknade za prijevoz na posao i sa posla, stručna usavršavanja zaposlenika i ostale naknade troškova zaposlenima za nositelje izvršne vlasti i službenike Općine Oprtalj.</w:t>
      </w:r>
    </w:p>
    <w:p w14:paraId="6C613EE7"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69B71E20" w14:textId="613F5FBF" w:rsidR="00413B7C" w:rsidRPr="00777BC8"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777BC8">
        <w:rPr>
          <w:rFonts w:ascii="Times New Roman" w:eastAsiaTheme="minorHAnsi" w:hAnsi="Times New Roman"/>
          <w:lang w:eastAsia="en-US"/>
        </w:rPr>
        <w:t xml:space="preserve">Rashodi za materijal i energiju realizirani su u iznosu od </w:t>
      </w:r>
      <w:r w:rsidR="00022DD3">
        <w:rPr>
          <w:rFonts w:ascii="Times New Roman" w:eastAsiaTheme="minorHAnsi" w:hAnsi="Times New Roman"/>
          <w:lang w:eastAsia="en-US"/>
        </w:rPr>
        <w:t>42.099,74</w:t>
      </w:r>
      <w:r w:rsidRPr="00777BC8">
        <w:rPr>
          <w:rFonts w:ascii="Times New Roman" w:eastAsiaTheme="minorHAnsi" w:hAnsi="Times New Roman"/>
          <w:lang w:eastAsia="en-US"/>
        </w:rPr>
        <w:t xml:space="preserve"> EUR. Unutar skupine utrošena su sredstva za uredski materijal i ostale materijalne rashode, energiju, sredstva za čišćenje, materijal za tekuće i investicijsko održavanje građevinskih objekata te postrojenja i opreme, sitni inventar i slično. </w:t>
      </w:r>
    </w:p>
    <w:p w14:paraId="310B955B" w14:textId="77777777" w:rsidR="00413B7C" w:rsidRPr="00777BC8"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246D94D5" w14:textId="1DD299DD" w:rsidR="00413B7C"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777BC8">
        <w:rPr>
          <w:rFonts w:ascii="Times New Roman" w:eastAsiaTheme="minorHAnsi" w:hAnsi="Times New Roman"/>
          <w:lang w:eastAsia="en-US"/>
        </w:rPr>
        <w:t xml:space="preserve">Rashodi za usluge u </w:t>
      </w:r>
      <w:r w:rsidR="00022DD3">
        <w:rPr>
          <w:rFonts w:ascii="Times New Roman" w:eastAsiaTheme="minorHAnsi" w:hAnsi="Times New Roman"/>
          <w:lang w:eastAsia="en-US"/>
        </w:rPr>
        <w:t>2025. godini</w:t>
      </w:r>
      <w:r w:rsidRPr="00777BC8">
        <w:rPr>
          <w:rFonts w:ascii="Times New Roman" w:eastAsiaTheme="minorHAnsi" w:hAnsi="Times New Roman"/>
          <w:lang w:eastAsia="en-US"/>
        </w:rPr>
        <w:t xml:space="preserve"> realizirani su u iznosu od </w:t>
      </w:r>
      <w:r w:rsidR="00022DD3">
        <w:rPr>
          <w:rFonts w:ascii="Times New Roman" w:eastAsiaTheme="minorHAnsi" w:hAnsi="Times New Roman"/>
          <w:lang w:eastAsia="en-US"/>
        </w:rPr>
        <w:t>410.625,52</w:t>
      </w:r>
      <w:r w:rsidRPr="00777BC8">
        <w:rPr>
          <w:rFonts w:ascii="Times New Roman" w:eastAsiaTheme="minorHAnsi" w:hAnsi="Times New Roman"/>
          <w:lang w:eastAsia="en-US"/>
        </w:rPr>
        <w:t xml:space="preserve"> EUR. Rashodi za usluge odnose se na komunalne usluge, intelektualne usluge, usluge tekućeg i investicijskog održavanja objekata i druge rashode vezane za objekte općinske uprave, te na tekuća i investicijska održavanja objekata komunalne infrastrukture kao što je održavanje zelenih površina, nerazvrstanih cesta, javne rasvjete, održavanje groblja i slično. </w:t>
      </w:r>
    </w:p>
    <w:p w14:paraId="1AF381E1" w14:textId="77777777" w:rsidR="00413B7C" w:rsidRPr="00777BC8"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0ACA47B1" w14:textId="78B1003D" w:rsidR="00413B7C" w:rsidRPr="00777BC8" w:rsidRDefault="00413B7C" w:rsidP="00413B7C">
      <w:pPr>
        <w:spacing w:after="0" w:line="240" w:lineRule="auto"/>
        <w:ind w:right="70"/>
        <w:jc w:val="both"/>
        <w:rPr>
          <w:rFonts w:ascii="Times New Roman" w:hAnsi="Times New Roman"/>
          <w:b/>
          <w:i/>
        </w:rPr>
      </w:pPr>
      <w:r w:rsidRPr="00777BC8">
        <w:rPr>
          <w:rFonts w:ascii="Times New Roman" w:hAnsi="Times New Roman"/>
          <w:b/>
          <w:i/>
        </w:rPr>
        <w:t>Tablica broj 1.:</w:t>
      </w:r>
      <w:r w:rsidRPr="00777BC8">
        <w:rPr>
          <w:rFonts w:ascii="Times New Roman" w:hAnsi="Times New Roman"/>
          <w:i/>
        </w:rPr>
        <w:t xml:space="preserve"> U</w:t>
      </w:r>
      <w:r w:rsidRPr="00777BC8">
        <w:rPr>
          <w:rFonts w:ascii="Times New Roman" w:hAnsi="Times New Roman"/>
          <w:bCs/>
          <w:i/>
        </w:rPr>
        <w:t xml:space="preserve">sporedni prikaz realizacije Rashoda za usluge u razdoblju </w:t>
      </w:r>
      <w:r w:rsidRPr="00777BC8">
        <w:rPr>
          <w:rFonts w:ascii="Times New Roman" w:hAnsi="Times New Roman"/>
          <w:i/>
        </w:rPr>
        <w:t xml:space="preserve"> </w:t>
      </w:r>
      <w:r w:rsidR="00022DD3">
        <w:rPr>
          <w:rFonts w:ascii="Times New Roman" w:hAnsi="Times New Roman"/>
          <w:bCs/>
          <w:i/>
        </w:rPr>
        <w:t>od 01. siječnja do 31</w:t>
      </w:r>
      <w:r w:rsidRPr="00777BC8">
        <w:rPr>
          <w:rFonts w:ascii="Times New Roman" w:hAnsi="Times New Roman"/>
          <w:bCs/>
          <w:i/>
        </w:rPr>
        <w:t xml:space="preserve">. </w:t>
      </w:r>
      <w:r w:rsidR="00022DD3">
        <w:rPr>
          <w:rFonts w:ascii="Times New Roman" w:hAnsi="Times New Roman"/>
          <w:bCs/>
          <w:i/>
        </w:rPr>
        <w:t>prosinca</w:t>
      </w:r>
      <w:r w:rsidRPr="00777BC8">
        <w:rPr>
          <w:rFonts w:ascii="Times New Roman" w:hAnsi="Times New Roman"/>
          <w:bCs/>
          <w:i/>
        </w:rPr>
        <w:t xml:space="preserve"> 2025. godine u odnosu na prethodnu 2024. godinu    </w:t>
      </w:r>
    </w:p>
    <w:p w14:paraId="0D2D1890" w14:textId="77777777" w:rsidR="00413B7C" w:rsidRDefault="00413B7C" w:rsidP="00413B7C">
      <w:pPr>
        <w:autoSpaceDE w:val="0"/>
        <w:autoSpaceDN w:val="0"/>
        <w:adjustRightInd w:val="0"/>
        <w:spacing w:after="0" w:line="240" w:lineRule="auto"/>
        <w:jc w:val="both"/>
        <w:rPr>
          <w:rFonts w:ascii="Times New Roman" w:eastAsiaTheme="minorHAnsi" w:hAnsi="Times New Roman"/>
          <w:sz w:val="24"/>
          <w:szCs w:val="24"/>
          <w:lang w:eastAsia="en-US"/>
        </w:rPr>
      </w:pPr>
    </w:p>
    <w:tbl>
      <w:tblPr>
        <w:tblW w:w="9260" w:type="dxa"/>
        <w:tblLook w:val="04A0" w:firstRow="1" w:lastRow="0" w:firstColumn="1" w:lastColumn="0" w:noHBand="0" w:noVBand="1"/>
      </w:tblPr>
      <w:tblGrid>
        <w:gridCol w:w="846"/>
        <w:gridCol w:w="4111"/>
        <w:gridCol w:w="2126"/>
        <w:gridCol w:w="2177"/>
      </w:tblGrid>
      <w:tr w:rsidR="00413B7C" w:rsidRPr="00CC1EE7" w14:paraId="0F42849D" w14:textId="77777777" w:rsidTr="007D3E89">
        <w:trPr>
          <w:trHeight w:val="945"/>
        </w:trPr>
        <w:tc>
          <w:tcPr>
            <w:tcW w:w="846"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1613F5D3" w14:textId="77777777" w:rsidR="00413B7C" w:rsidRPr="00CC1EE7" w:rsidRDefault="00413B7C" w:rsidP="007D3E89">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Račun</w:t>
            </w:r>
          </w:p>
        </w:tc>
        <w:tc>
          <w:tcPr>
            <w:tcW w:w="4111" w:type="dxa"/>
            <w:tcBorders>
              <w:top w:val="single" w:sz="4" w:space="0" w:color="000000"/>
              <w:left w:val="nil"/>
              <w:bottom w:val="single" w:sz="4" w:space="0" w:color="000000"/>
              <w:right w:val="single" w:sz="4" w:space="0" w:color="000000"/>
            </w:tcBorders>
            <w:shd w:val="clear" w:color="000000" w:fill="C0C0C0"/>
            <w:noWrap/>
            <w:vAlign w:val="center"/>
            <w:hideMark/>
          </w:tcPr>
          <w:p w14:paraId="16CA6B42" w14:textId="77777777" w:rsidR="00413B7C" w:rsidRPr="00CC1EE7" w:rsidRDefault="00413B7C" w:rsidP="007D3E89">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Naziv računa</w:t>
            </w:r>
          </w:p>
        </w:tc>
        <w:tc>
          <w:tcPr>
            <w:tcW w:w="2126" w:type="dxa"/>
            <w:tcBorders>
              <w:top w:val="single" w:sz="4" w:space="0" w:color="000000"/>
              <w:left w:val="nil"/>
              <w:bottom w:val="single" w:sz="4" w:space="0" w:color="000000"/>
              <w:right w:val="single" w:sz="4" w:space="0" w:color="000000"/>
            </w:tcBorders>
            <w:shd w:val="clear" w:color="000000" w:fill="C0C0C0"/>
            <w:vAlign w:val="center"/>
            <w:hideMark/>
          </w:tcPr>
          <w:p w14:paraId="6E818104" w14:textId="66DDB0EA" w:rsidR="00413B7C" w:rsidRPr="00CC1EE7" w:rsidRDefault="00413B7C" w:rsidP="00022DD3">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Izvršenje</w:t>
            </w:r>
            <w:r w:rsidRPr="00CC1EE7">
              <w:rPr>
                <w:rFonts w:ascii="Times New Roman" w:hAnsi="Times New Roman"/>
                <w:b/>
                <w:bCs/>
                <w:color w:val="000000"/>
                <w:sz w:val="20"/>
                <w:szCs w:val="20"/>
              </w:rPr>
              <w:br/>
              <w:t>1.1.2024.-</w:t>
            </w:r>
            <w:r w:rsidR="00022DD3">
              <w:rPr>
                <w:rFonts w:ascii="Times New Roman" w:hAnsi="Times New Roman"/>
                <w:b/>
                <w:bCs/>
                <w:color w:val="000000"/>
                <w:sz w:val="20"/>
                <w:szCs w:val="20"/>
              </w:rPr>
              <w:t>31.12</w:t>
            </w:r>
            <w:r w:rsidRPr="00CC1EE7">
              <w:rPr>
                <w:rFonts w:ascii="Times New Roman" w:hAnsi="Times New Roman"/>
                <w:b/>
                <w:bCs/>
                <w:color w:val="000000"/>
                <w:sz w:val="20"/>
                <w:szCs w:val="20"/>
              </w:rPr>
              <w:t>.2024.</w:t>
            </w:r>
          </w:p>
        </w:tc>
        <w:tc>
          <w:tcPr>
            <w:tcW w:w="2177" w:type="dxa"/>
            <w:tcBorders>
              <w:top w:val="single" w:sz="4" w:space="0" w:color="000000"/>
              <w:left w:val="nil"/>
              <w:bottom w:val="single" w:sz="4" w:space="0" w:color="000000"/>
              <w:right w:val="single" w:sz="4" w:space="0" w:color="000000"/>
            </w:tcBorders>
            <w:shd w:val="clear" w:color="000000" w:fill="C0C0C0"/>
            <w:vAlign w:val="center"/>
            <w:hideMark/>
          </w:tcPr>
          <w:p w14:paraId="793F5F93" w14:textId="54C38F2D" w:rsidR="00413B7C" w:rsidRPr="00CC1EE7" w:rsidRDefault="00413B7C" w:rsidP="00022DD3">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Izvršenje</w:t>
            </w:r>
            <w:r w:rsidRPr="00CC1EE7">
              <w:rPr>
                <w:rFonts w:ascii="Times New Roman" w:hAnsi="Times New Roman"/>
                <w:b/>
                <w:bCs/>
                <w:color w:val="000000"/>
                <w:sz w:val="20"/>
                <w:szCs w:val="20"/>
              </w:rPr>
              <w:br/>
              <w:t>1.1.2025.-</w:t>
            </w:r>
            <w:r w:rsidR="00022DD3">
              <w:rPr>
                <w:rFonts w:ascii="Times New Roman" w:hAnsi="Times New Roman"/>
                <w:b/>
                <w:bCs/>
                <w:color w:val="000000"/>
                <w:sz w:val="20"/>
                <w:szCs w:val="20"/>
              </w:rPr>
              <w:t>31.12</w:t>
            </w:r>
            <w:r w:rsidRPr="00CC1EE7">
              <w:rPr>
                <w:rFonts w:ascii="Times New Roman" w:hAnsi="Times New Roman"/>
                <w:b/>
                <w:bCs/>
                <w:color w:val="000000"/>
                <w:sz w:val="20"/>
                <w:szCs w:val="20"/>
              </w:rPr>
              <w:t>.2025.</w:t>
            </w:r>
          </w:p>
        </w:tc>
      </w:tr>
      <w:tr w:rsidR="00413B7C" w:rsidRPr="00CC1EE7" w14:paraId="52C8E939"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05E63868" w14:textId="77777777" w:rsidR="00413B7C" w:rsidRPr="00CC1EE7" w:rsidRDefault="00413B7C" w:rsidP="007D3E89">
            <w:pPr>
              <w:spacing w:after="0" w:line="240" w:lineRule="auto"/>
              <w:jc w:val="right"/>
              <w:rPr>
                <w:rFonts w:ascii="Times New Roman" w:hAnsi="Times New Roman"/>
                <w:b/>
                <w:bCs/>
                <w:color w:val="000000"/>
                <w:sz w:val="20"/>
                <w:szCs w:val="20"/>
              </w:rPr>
            </w:pPr>
            <w:r w:rsidRPr="00CC1EE7">
              <w:rPr>
                <w:rFonts w:ascii="Times New Roman" w:hAnsi="Times New Roman"/>
                <w:b/>
                <w:bCs/>
                <w:color w:val="000000"/>
                <w:sz w:val="20"/>
                <w:szCs w:val="20"/>
              </w:rPr>
              <w:t>323</w:t>
            </w:r>
          </w:p>
        </w:tc>
        <w:tc>
          <w:tcPr>
            <w:tcW w:w="4111" w:type="dxa"/>
            <w:tcBorders>
              <w:top w:val="nil"/>
              <w:left w:val="nil"/>
              <w:bottom w:val="single" w:sz="4" w:space="0" w:color="000000"/>
              <w:right w:val="single" w:sz="4" w:space="0" w:color="000000"/>
            </w:tcBorders>
            <w:shd w:val="clear" w:color="000000" w:fill="FFFFFF"/>
            <w:noWrap/>
            <w:hideMark/>
          </w:tcPr>
          <w:p w14:paraId="6C0E9830" w14:textId="77777777" w:rsidR="00413B7C" w:rsidRPr="00CC1EE7" w:rsidRDefault="00413B7C" w:rsidP="007D3E89">
            <w:pPr>
              <w:spacing w:after="0" w:line="240" w:lineRule="auto"/>
              <w:rPr>
                <w:rFonts w:ascii="Times New Roman" w:hAnsi="Times New Roman"/>
                <w:b/>
                <w:bCs/>
                <w:color w:val="000000"/>
                <w:sz w:val="20"/>
                <w:szCs w:val="20"/>
              </w:rPr>
            </w:pPr>
            <w:r w:rsidRPr="00CC1EE7">
              <w:rPr>
                <w:rFonts w:ascii="Times New Roman" w:hAnsi="Times New Roman"/>
                <w:b/>
                <w:bCs/>
                <w:color w:val="000000"/>
                <w:sz w:val="20"/>
                <w:szCs w:val="20"/>
              </w:rPr>
              <w:t>Rashodi za usluge</w:t>
            </w:r>
          </w:p>
        </w:tc>
        <w:tc>
          <w:tcPr>
            <w:tcW w:w="2126" w:type="dxa"/>
            <w:tcBorders>
              <w:top w:val="nil"/>
              <w:left w:val="nil"/>
              <w:bottom w:val="single" w:sz="4" w:space="0" w:color="000000"/>
              <w:right w:val="single" w:sz="4" w:space="0" w:color="000000"/>
            </w:tcBorders>
            <w:shd w:val="clear" w:color="000000" w:fill="FFFFFF"/>
            <w:noWrap/>
          </w:tcPr>
          <w:p w14:paraId="06F1624D" w14:textId="7154F2C8" w:rsidR="00413B7C" w:rsidRPr="00CC1EE7" w:rsidRDefault="00022DD3"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299.861,90</w:t>
            </w:r>
          </w:p>
        </w:tc>
        <w:tc>
          <w:tcPr>
            <w:tcW w:w="2177" w:type="dxa"/>
            <w:tcBorders>
              <w:top w:val="nil"/>
              <w:left w:val="nil"/>
              <w:bottom w:val="single" w:sz="4" w:space="0" w:color="000000"/>
              <w:right w:val="single" w:sz="4" w:space="0" w:color="000000"/>
            </w:tcBorders>
            <w:shd w:val="clear" w:color="000000" w:fill="FFFFFF"/>
            <w:noWrap/>
          </w:tcPr>
          <w:p w14:paraId="7554D6FF" w14:textId="373ACBFF" w:rsidR="00413B7C" w:rsidRPr="00CC1EE7" w:rsidRDefault="00022DD3"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410.625,52</w:t>
            </w:r>
          </w:p>
        </w:tc>
      </w:tr>
      <w:tr w:rsidR="00413B7C" w:rsidRPr="00CC1EE7" w14:paraId="4223CDC3"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00A821D4"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3231</w:t>
            </w:r>
          </w:p>
        </w:tc>
        <w:tc>
          <w:tcPr>
            <w:tcW w:w="4111" w:type="dxa"/>
            <w:tcBorders>
              <w:top w:val="nil"/>
              <w:left w:val="nil"/>
              <w:bottom w:val="single" w:sz="4" w:space="0" w:color="000000"/>
              <w:right w:val="single" w:sz="4" w:space="0" w:color="000000"/>
            </w:tcBorders>
            <w:shd w:val="clear" w:color="000000" w:fill="FFFFFF"/>
            <w:noWrap/>
            <w:hideMark/>
          </w:tcPr>
          <w:p w14:paraId="4D2667A1"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Usluge telefona, interneta, pošte i prijevoza</w:t>
            </w:r>
          </w:p>
        </w:tc>
        <w:tc>
          <w:tcPr>
            <w:tcW w:w="2126" w:type="dxa"/>
            <w:tcBorders>
              <w:top w:val="nil"/>
              <w:left w:val="nil"/>
              <w:bottom w:val="single" w:sz="4" w:space="0" w:color="000000"/>
              <w:right w:val="single" w:sz="4" w:space="0" w:color="000000"/>
            </w:tcBorders>
            <w:shd w:val="clear" w:color="000000" w:fill="FFFFFF"/>
            <w:noWrap/>
          </w:tcPr>
          <w:p w14:paraId="55626C5F" w14:textId="6999F9E8"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5.586,61</w:t>
            </w:r>
          </w:p>
        </w:tc>
        <w:tc>
          <w:tcPr>
            <w:tcW w:w="2177" w:type="dxa"/>
            <w:tcBorders>
              <w:top w:val="nil"/>
              <w:left w:val="nil"/>
              <w:bottom w:val="single" w:sz="4" w:space="0" w:color="000000"/>
              <w:right w:val="single" w:sz="4" w:space="0" w:color="000000"/>
            </w:tcBorders>
            <w:shd w:val="clear" w:color="000000" w:fill="FFFFFF"/>
            <w:noWrap/>
          </w:tcPr>
          <w:p w14:paraId="3BE4587F" w14:textId="4242EE57"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8.128,27</w:t>
            </w:r>
          </w:p>
        </w:tc>
      </w:tr>
      <w:tr w:rsidR="00413B7C" w:rsidRPr="00CC1EE7" w14:paraId="51FC937B"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72999292"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3232</w:t>
            </w:r>
          </w:p>
        </w:tc>
        <w:tc>
          <w:tcPr>
            <w:tcW w:w="4111" w:type="dxa"/>
            <w:tcBorders>
              <w:top w:val="nil"/>
              <w:left w:val="nil"/>
              <w:bottom w:val="single" w:sz="4" w:space="0" w:color="000000"/>
              <w:right w:val="single" w:sz="4" w:space="0" w:color="000000"/>
            </w:tcBorders>
            <w:shd w:val="clear" w:color="000000" w:fill="FFFFFF"/>
            <w:noWrap/>
            <w:hideMark/>
          </w:tcPr>
          <w:p w14:paraId="0898D7FD"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Usluge tekućeg i investicijskog  održavanja</w:t>
            </w:r>
          </w:p>
        </w:tc>
        <w:tc>
          <w:tcPr>
            <w:tcW w:w="2126" w:type="dxa"/>
            <w:tcBorders>
              <w:top w:val="nil"/>
              <w:left w:val="nil"/>
              <w:bottom w:val="single" w:sz="4" w:space="0" w:color="000000"/>
              <w:right w:val="single" w:sz="4" w:space="0" w:color="000000"/>
            </w:tcBorders>
            <w:shd w:val="clear" w:color="000000" w:fill="FFFFFF"/>
            <w:noWrap/>
          </w:tcPr>
          <w:p w14:paraId="6AA2BC94" w14:textId="68D9CEC1"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123.054,00</w:t>
            </w:r>
          </w:p>
        </w:tc>
        <w:tc>
          <w:tcPr>
            <w:tcW w:w="2177" w:type="dxa"/>
            <w:tcBorders>
              <w:top w:val="nil"/>
              <w:left w:val="nil"/>
              <w:bottom w:val="single" w:sz="4" w:space="0" w:color="000000"/>
              <w:right w:val="single" w:sz="4" w:space="0" w:color="000000"/>
            </w:tcBorders>
            <w:shd w:val="clear" w:color="000000" w:fill="FFFFFF"/>
            <w:noWrap/>
          </w:tcPr>
          <w:p w14:paraId="00297866" w14:textId="5A79813C"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234.975,82</w:t>
            </w:r>
          </w:p>
        </w:tc>
      </w:tr>
      <w:tr w:rsidR="00413B7C" w:rsidRPr="00CC1EE7" w14:paraId="4159D527"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61B2B8E3"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3233</w:t>
            </w:r>
          </w:p>
        </w:tc>
        <w:tc>
          <w:tcPr>
            <w:tcW w:w="4111" w:type="dxa"/>
            <w:tcBorders>
              <w:top w:val="nil"/>
              <w:left w:val="nil"/>
              <w:bottom w:val="single" w:sz="4" w:space="0" w:color="000000"/>
              <w:right w:val="single" w:sz="4" w:space="0" w:color="000000"/>
            </w:tcBorders>
            <w:shd w:val="clear" w:color="000000" w:fill="FFFFFF"/>
            <w:noWrap/>
            <w:hideMark/>
          </w:tcPr>
          <w:p w14:paraId="206BD793"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Usluge promidžbe i informiranja</w:t>
            </w:r>
          </w:p>
        </w:tc>
        <w:tc>
          <w:tcPr>
            <w:tcW w:w="2126" w:type="dxa"/>
            <w:tcBorders>
              <w:top w:val="nil"/>
              <w:left w:val="nil"/>
              <w:bottom w:val="single" w:sz="4" w:space="0" w:color="000000"/>
              <w:right w:val="single" w:sz="4" w:space="0" w:color="000000"/>
            </w:tcBorders>
            <w:shd w:val="clear" w:color="000000" w:fill="FFFFFF"/>
            <w:noWrap/>
          </w:tcPr>
          <w:p w14:paraId="6439E696" w14:textId="0A43219C"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4.549,41</w:t>
            </w:r>
          </w:p>
        </w:tc>
        <w:tc>
          <w:tcPr>
            <w:tcW w:w="2177" w:type="dxa"/>
            <w:tcBorders>
              <w:top w:val="nil"/>
              <w:left w:val="nil"/>
              <w:bottom w:val="single" w:sz="4" w:space="0" w:color="000000"/>
              <w:right w:val="single" w:sz="4" w:space="0" w:color="000000"/>
            </w:tcBorders>
            <w:shd w:val="clear" w:color="000000" w:fill="FFFFFF"/>
            <w:noWrap/>
          </w:tcPr>
          <w:p w14:paraId="1C4FED93" w14:textId="42EE09B2"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9.252,70</w:t>
            </w:r>
          </w:p>
        </w:tc>
      </w:tr>
      <w:tr w:rsidR="00413B7C" w:rsidRPr="00CC1EE7" w14:paraId="47D6C9B7"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2E530E37"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3234</w:t>
            </w:r>
          </w:p>
        </w:tc>
        <w:tc>
          <w:tcPr>
            <w:tcW w:w="4111" w:type="dxa"/>
            <w:tcBorders>
              <w:top w:val="nil"/>
              <w:left w:val="nil"/>
              <w:bottom w:val="single" w:sz="4" w:space="0" w:color="000000"/>
              <w:right w:val="single" w:sz="4" w:space="0" w:color="000000"/>
            </w:tcBorders>
            <w:shd w:val="clear" w:color="000000" w:fill="FFFFFF"/>
            <w:noWrap/>
            <w:hideMark/>
          </w:tcPr>
          <w:p w14:paraId="43550DAD"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Komunalne usluge</w:t>
            </w:r>
          </w:p>
        </w:tc>
        <w:tc>
          <w:tcPr>
            <w:tcW w:w="2126" w:type="dxa"/>
            <w:tcBorders>
              <w:top w:val="nil"/>
              <w:left w:val="nil"/>
              <w:bottom w:val="single" w:sz="4" w:space="0" w:color="000000"/>
              <w:right w:val="single" w:sz="4" w:space="0" w:color="000000"/>
            </w:tcBorders>
            <w:shd w:val="clear" w:color="000000" w:fill="FFFFFF"/>
            <w:noWrap/>
          </w:tcPr>
          <w:p w14:paraId="30FA7A71" w14:textId="7F9BC33E"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16.468,02</w:t>
            </w:r>
          </w:p>
        </w:tc>
        <w:tc>
          <w:tcPr>
            <w:tcW w:w="2177" w:type="dxa"/>
            <w:tcBorders>
              <w:top w:val="nil"/>
              <w:left w:val="nil"/>
              <w:bottom w:val="single" w:sz="4" w:space="0" w:color="000000"/>
              <w:right w:val="single" w:sz="4" w:space="0" w:color="000000"/>
            </w:tcBorders>
            <w:shd w:val="clear" w:color="000000" w:fill="FFFFFF"/>
            <w:noWrap/>
          </w:tcPr>
          <w:p w14:paraId="14381DAA" w14:textId="13ACC042"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14.297,50</w:t>
            </w:r>
          </w:p>
        </w:tc>
      </w:tr>
      <w:tr w:rsidR="00413B7C" w:rsidRPr="00CC1EE7" w14:paraId="2D9AAE3A"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16054BD9"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3235</w:t>
            </w:r>
          </w:p>
        </w:tc>
        <w:tc>
          <w:tcPr>
            <w:tcW w:w="4111" w:type="dxa"/>
            <w:tcBorders>
              <w:top w:val="nil"/>
              <w:left w:val="nil"/>
              <w:bottom w:val="single" w:sz="4" w:space="0" w:color="000000"/>
              <w:right w:val="single" w:sz="4" w:space="0" w:color="000000"/>
            </w:tcBorders>
            <w:shd w:val="clear" w:color="000000" w:fill="FFFFFF"/>
            <w:noWrap/>
            <w:hideMark/>
          </w:tcPr>
          <w:p w14:paraId="643B798E"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Zakupnine i najamnine</w:t>
            </w:r>
          </w:p>
        </w:tc>
        <w:tc>
          <w:tcPr>
            <w:tcW w:w="2126" w:type="dxa"/>
            <w:tcBorders>
              <w:top w:val="nil"/>
              <w:left w:val="nil"/>
              <w:bottom w:val="single" w:sz="4" w:space="0" w:color="000000"/>
              <w:right w:val="single" w:sz="4" w:space="0" w:color="000000"/>
            </w:tcBorders>
            <w:shd w:val="clear" w:color="000000" w:fill="FFFFFF"/>
            <w:noWrap/>
          </w:tcPr>
          <w:p w14:paraId="58B31F7D" w14:textId="63828616"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2.028,26</w:t>
            </w:r>
          </w:p>
        </w:tc>
        <w:tc>
          <w:tcPr>
            <w:tcW w:w="2177" w:type="dxa"/>
            <w:tcBorders>
              <w:top w:val="nil"/>
              <w:left w:val="nil"/>
              <w:bottom w:val="single" w:sz="4" w:space="0" w:color="000000"/>
              <w:right w:val="single" w:sz="4" w:space="0" w:color="000000"/>
            </w:tcBorders>
            <w:shd w:val="clear" w:color="000000" w:fill="FFFFFF"/>
            <w:noWrap/>
          </w:tcPr>
          <w:p w14:paraId="6ACBF59E" w14:textId="75B6F835"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9.496,72</w:t>
            </w:r>
          </w:p>
        </w:tc>
      </w:tr>
      <w:tr w:rsidR="00413B7C" w:rsidRPr="00CC1EE7" w14:paraId="17B9F1BB"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221ABC6A"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3236</w:t>
            </w:r>
          </w:p>
        </w:tc>
        <w:tc>
          <w:tcPr>
            <w:tcW w:w="4111" w:type="dxa"/>
            <w:tcBorders>
              <w:top w:val="nil"/>
              <w:left w:val="nil"/>
              <w:bottom w:val="single" w:sz="4" w:space="0" w:color="000000"/>
              <w:right w:val="single" w:sz="4" w:space="0" w:color="000000"/>
            </w:tcBorders>
            <w:shd w:val="clear" w:color="000000" w:fill="FFFFFF"/>
            <w:noWrap/>
            <w:hideMark/>
          </w:tcPr>
          <w:p w14:paraId="76BB0413"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Zdravstvene i veterinarske usluge</w:t>
            </w:r>
          </w:p>
        </w:tc>
        <w:tc>
          <w:tcPr>
            <w:tcW w:w="2126" w:type="dxa"/>
            <w:tcBorders>
              <w:top w:val="nil"/>
              <w:left w:val="nil"/>
              <w:bottom w:val="single" w:sz="4" w:space="0" w:color="000000"/>
              <w:right w:val="single" w:sz="4" w:space="0" w:color="000000"/>
            </w:tcBorders>
            <w:shd w:val="clear" w:color="000000" w:fill="FFFFFF"/>
            <w:noWrap/>
          </w:tcPr>
          <w:p w14:paraId="7F98375F" w14:textId="346AB960"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6.331,12</w:t>
            </w:r>
          </w:p>
        </w:tc>
        <w:tc>
          <w:tcPr>
            <w:tcW w:w="2177" w:type="dxa"/>
            <w:tcBorders>
              <w:top w:val="nil"/>
              <w:left w:val="nil"/>
              <w:bottom w:val="single" w:sz="4" w:space="0" w:color="000000"/>
              <w:right w:val="single" w:sz="4" w:space="0" w:color="000000"/>
            </w:tcBorders>
            <w:shd w:val="clear" w:color="000000" w:fill="FFFFFF"/>
            <w:noWrap/>
          </w:tcPr>
          <w:p w14:paraId="0D913C10" w14:textId="6CCB975C"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2.724,90</w:t>
            </w:r>
          </w:p>
        </w:tc>
      </w:tr>
      <w:tr w:rsidR="00413B7C" w:rsidRPr="00CC1EE7" w14:paraId="6D72F4FB"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537B4416"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3237</w:t>
            </w:r>
          </w:p>
        </w:tc>
        <w:tc>
          <w:tcPr>
            <w:tcW w:w="4111" w:type="dxa"/>
            <w:tcBorders>
              <w:top w:val="nil"/>
              <w:left w:val="nil"/>
              <w:bottom w:val="single" w:sz="4" w:space="0" w:color="000000"/>
              <w:right w:val="single" w:sz="4" w:space="0" w:color="000000"/>
            </w:tcBorders>
            <w:shd w:val="clear" w:color="000000" w:fill="FFFFFF"/>
            <w:noWrap/>
            <w:hideMark/>
          </w:tcPr>
          <w:p w14:paraId="3AEFDFD3"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Intelektualne i osobne usluge</w:t>
            </w:r>
          </w:p>
        </w:tc>
        <w:tc>
          <w:tcPr>
            <w:tcW w:w="2126" w:type="dxa"/>
            <w:tcBorders>
              <w:top w:val="nil"/>
              <w:left w:val="nil"/>
              <w:bottom w:val="single" w:sz="4" w:space="0" w:color="000000"/>
              <w:right w:val="single" w:sz="4" w:space="0" w:color="000000"/>
            </w:tcBorders>
            <w:shd w:val="clear" w:color="000000" w:fill="FFFFFF"/>
            <w:noWrap/>
          </w:tcPr>
          <w:p w14:paraId="1F6A87B5" w14:textId="040B55BB"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92.670,89</w:t>
            </w:r>
          </w:p>
        </w:tc>
        <w:tc>
          <w:tcPr>
            <w:tcW w:w="2177" w:type="dxa"/>
            <w:tcBorders>
              <w:top w:val="nil"/>
              <w:left w:val="nil"/>
              <w:bottom w:val="single" w:sz="4" w:space="0" w:color="000000"/>
              <w:right w:val="single" w:sz="4" w:space="0" w:color="000000"/>
            </w:tcBorders>
            <w:shd w:val="clear" w:color="000000" w:fill="FFFFFF"/>
            <w:noWrap/>
          </w:tcPr>
          <w:p w14:paraId="54E4ED5D" w14:textId="768746F4"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70.262,87</w:t>
            </w:r>
          </w:p>
        </w:tc>
      </w:tr>
      <w:tr w:rsidR="00413B7C" w:rsidRPr="00CC1EE7" w14:paraId="7356054C"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6E2D261C"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3238</w:t>
            </w:r>
          </w:p>
        </w:tc>
        <w:tc>
          <w:tcPr>
            <w:tcW w:w="4111" w:type="dxa"/>
            <w:tcBorders>
              <w:top w:val="nil"/>
              <w:left w:val="nil"/>
              <w:bottom w:val="single" w:sz="4" w:space="0" w:color="000000"/>
              <w:right w:val="single" w:sz="4" w:space="0" w:color="000000"/>
            </w:tcBorders>
            <w:shd w:val="clear" w:color="000000" w:fill="FFFFFF"/>
            <w:noWrap/>
            <w:hideMark/>
          </w:tcPr>
          <w:p w14:paraId="551BF3C9"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Računalne usluge</w:t>
            </w:r>
          </w:p>
        </w:tc>
        <w:tc>
          <w:tcPr>
            <w:tcW w:w="2126" w:type="dxa"/>
            <w:tcBorders>
              <w:top w:val="nil"/>
              <w:left w:val="nil"/>
              <w:bottom w:val="single" w:sz="4" w:space="0" w:color="000000"/>
              <w:right w:val="single" w:sz="4" w:space="0" w:color="000000"/>
            </w:tcBorders>
            <w:shd w:val="clear" w:color="000000" w:fill="FFFFFF"/>
            <w:noWrap/>
          </w:tcPr>
          <w:p w14:paraId="2C644A5A" w14:textId="1663B2E8"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18.829,33</w:t>
            </w:r>
          </w:p>
        </w:tc>
        <w:tc>
          <w:tcPr>
            <w:tcW w:w="2177" w:type="dxa"/>
            <w:tcBorders>
              <w:top w:val="nil"/>
              <w:left w:val="nil"/>
              <w:bottom w:val="single" w:sz="4" w:space="0" w:color="000000"/>
              <w:right w:val="single" w:sz="4" w:space="0" w:color="000000"/>
            </w:tcBorders>
            <w:shd w:val="clear" w:color="000000" w:fill="FFFFFF"/>
            <w:noWrap/>
          </w:tcPr>
          <w:p w14:paraId="1E851A7E" w14:textId="66A6647D"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15.935,36</w:t>
            </w:r>
          </w:p>
        </w:tc>
      </w:tr>
      <w:tr w:rsidR="00413B7C" w:rsidRPr="00CC1EE7" w14:paraId="2470DFC4" w14:textId="77777777" w:rsidTr="00022DD3">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46163749"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3239</w:t>
            </w:r>
          </w:p>
        </w:tc>
        <w:tc>
          <w:tcPr>
            <w:tcW w:w="4111" w:type="dxa"/>
            <w:tcBorders>
              <w:top w:val="nil"/>
              <w:left w:val="nil"/>
              <w:bottom w:val="single" w:sz="4" w:space="0" w:color="000000"/>
              <w:right w:val="single" w:sz="4" w:space="0" w:color="000000"/>
            </w:tcBorders>
            <w:shd w:val="clear" w:color="000000" w:fill="FFFFFF"/>
            <w:noWrap/>
            <w:hideMark/>
          </w:tcPr>
          <w:p w14:paraId="5D53BCF7"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Ostale usluge</w:t>
            </w:r>
          </w:p>
        </w:tc>
        <w:tc>
          <w:tcPr>
            <w:tcW w:w="2126" w:type="dxa"/>
            <w:tcBorders>
              <w:top w:val="nil"/>
              <w:left w:val="nil"/>
              <w:bottom w:val="single" w:sz="4" w:space="0" w:color="000000"/>
              <w:right w:val="single" w:sz="4" w:space="0" w:color="000000"/>
            </w:tcBorders>
            <w:shd w:val="clear" w:color="000000" w:fill="FFFFFF"/>
            <w:noWrap/>
          </w:tcPr>
          <w:p w14:paraId="70853A93" w14:textId="262D4376"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29.364,26</w:t>
            </w:r>
          </w:p>
        </w:tc>
        <w:tc>
          <w:tcPr>
            <w:tcW w:w="2177" w:type="dxa"/>
            <w:tcBorders>
              <w:top w:val="nil"/>
              <w:left w:val="nil"/>
              <w:bottom w:val="single" w:sz="4" w:space="0" w:color="000000"/>
              <w:right w:val="single" w:sz="4" w:space="0" w:color="000000"/>
            </w:tcBorders>
            <w:shd w:val="clear" w:color="000000" w:fill="FFFFFF"/>
            <w:noWrap/>
          </w:tcPr>
          <w:p w14:paraId="42251A5B" w14:textId="4C4E0CB5" w:rsidR="00413B7C" w:rsidRPr="00CC1EE7" w:rsidRDefault="00022DD3"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45.551,38</w:t>
            </w:r>
          </w:p>
        </w:tc>
      </w:tr>
    </w:tbl>
    <w:p w14:paraId="1945195A" w14:textId="77777777" w:rsidR="00413B7C" w:rsidRPr="00AF5738" w:rsidRDefault="00413B7C" w:rsidP="00413B7C">
      <w:pPr>
        <w:autoSpaceDE w:val="0"/>
        <w:autoSpaceDN w:val="0"/>
        <w:adjustRightInd w:val="0"/>
        <w:spacing w:after="0" w:line="240" w:lineRule="auto"/>
        <w:jc w:val="both"/>
        <w:rPr>
          <w:rFonts w:ascii="Times New Roman" w:eastAsiaTheme="minorHAnsi" w:hAnsi="Times New Roman"/>
          <w:sz w:val="24"/>
          <w:szCs w:val="24"/>
          <w:lang w:eastAsia="en-US"/>
        </w:rPr>
      </w:pPr>
    </w:p>
    <w:p w14:paraId="51EDD34E" w14:textId="77777777" w:rsidR="00022DD3" w:rsidRPr="00022DD3" w:rsidRDefault="00022DD3" w:rsidP="00022DD3">
      <w:pPr>
        <w:spacing w:line="240" w:lineRule="auto"/>
        <w:jc w:val="both"/>
        <w:rPr>
          <w:rFonts w:ascii="Times New Roman" w:hAnsi="Times New Roman"/>
        </w:rPr>
      </w:pPr>
      <w:r w:rsidRPr="00022DD3">
        <w:rPr>
          <w:rFonts w:ascii="Times New Roman" w:hAnsi="Times New Roman"/>
        </w:rPr>
        <w:t>Značajniji posrat bilježe Usluge promidžbe i informiranja (</w:t>
      </w:r>
      <w:r>
        <w:rPr>
          <w:rFonts w:ascii="Times New Roman" w:hAnsi="Times New Roman"/>
        </w:rPr>
        <w:t>konto</w:t>
      </w:r>
      <w:r w:rsidRPr="00022DD3">
        <w:rPr>
          <w:rFonts w:ascii="Times New Roman" w:hAnsi="Times New Roman"/>
        </w:rPr>
        <w:t xml:space="preserve"> 3233), a to se prvenstveno odnosi na trošak objave oglasa za održavanje lokalnih izbora te uslugu produkcije i objave emisije „Doživi Oprtalj“. Navedeni je trošak povećan za više od dva puta u odnosu na prethodno izvještajno razdoblje. </w:t>
      </w:r>
    </w:p>
    <w:p w14:paraId="2BD038F8" w14:textId="77777777" w:rsidR="00022DD3" w:rsidRPr="00022DD3" w:rsidRDefault="00022DD3" w:rsidP="00022DD3">
      <w:pPr>
        <w:spacing w:line="240" w:lineRule="auto"/>
        <w:jc w:val="both"/>
        <w:rPr>
          <w:rFonts w:ascii="Times New Roman" w:hAnsi="Times New Roman"/>
        </w:rPr>
      </w:pPr>
      <w:r w:rsidRPr="00022DD3">
        <w:rPr>
          <w:rFonts w:ascii="Times New Roman" w:hAnsi="Times New Roman"/>
        </w:rPr>
        <w:t>Porast u izvještajnom razdoblju za više od četiri puta bilježi i stavka Zakupnine i najamnine (</w:t>
      </w:r>
      <w:r>
        <w:rPr>
          <w:rFonts w:ascii="Times New Roman" w:hAnsi="Times New Roman"/>
        </w:rPr>
        <w:t>konto</w:t>
      </w:r>
      <w:r w:rsidRPr="00022DD3">
        <w:rPr>
          <w:rFonts w:ascii="Times New Roman" w:hAnsi="Times New Roman"/>
        </w:rPr>
        <w:t xml:space="preserve"> 3235) navedeno se povećanje odnosi na najam fotokopirnog aparata zbog pristiglih računa iz 2024. godine, te najam opreme za održavanje manifestacija od značaja za područje općine.</w:t>
      </w:r>
    </w:p>
    <w:p w14:paraId="5526F0B9" w14:textId="4C5B1863" w:rsidR="00022DD3" w:rsidRDefault="00022DD3" w:rsidP="00413B7C">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Vrijednosno značajar rast rashoda bilježe Usluge tekućeg i investicijskog održavanja (konto 3232). Navedeno se</w:t>
      </w:r>
      <w:r w:rsidR="00EA313B">
        <w:rPr>
          <w:rFonts w:ascii="Times New Roman" w:eastAsiaTheme="minorHAnsi" w:hAnsi="Times New Roman"/>
          <w:lang w:eastAsia="en-US"/>
        </w:rPr>
        <w:t xml:space="preserve"> povećanje prvenstveno odnosi na košmju nerazvrstanih cesta te uređenju staza na grobljima.</w:t>
      </w:r>
    </w:p>
    <w:p w14:paraId="5DC36B66" w14:textId="77777777" w:rsidR="00EA313B" w:rsidRDefault="00EA313B" w:rsidP="00413B7C">
      <w:pPr>
        <w:autoSpaceDE w:val="0"/>
        <w:autoSpaceDN w:val="0"/>
        <w:adjustRightInd w:val="0"/>
        <w:spacing w:after="0" w:line="240" w:lineRule="auto"/>
        <w:jc w:val="both"/>
        <w:rPr>
          <w:rFonts w:ascii="Times New Roman" w:eastAsiaTheme="minorHAnsi" w:hAnsi="Times New Roman"/>
          <w:lang w:eastAsia="en-US"/>
        </w:rPr>
      </w:pPr>
    </w:p>
    <w:p w14:paraId="0AEA5F8D" w14:textId="2DD924B2" w:rsidR="00413B7C" w:rsidRDefault="00413B7C" w:rsidP="00413B7C">
      <w:pPr>
        <w:autoSpaceDE w:val="0"/>
        <w:autoSpaceDN w:val="0"/>
        <w:adjustRightInd w:val="0"/>
        <w:spacing w:after="0" w:line="240" w:lineRule="auto"/>
        <w:jc w:val="both"/>
        <w:rPr>
          <w:rFonts w:ascii="Times New Roman" w:eastAsiaTheme="minorHAnsi" w:hAnsi="Times New Roman"/>
          <w:lang w:eastAsia="en-US"/>
        </w:rPr>
      </w:pPr>
      <w:r w:rsidRPr="00CF721E">
        <w:rPr>
          <w:rFonts w:ascii="Times New Roman" w:eastAsiaTheme="minorHAnsi" w:hAnsi="Times New Roman"/>
          <w:lang w:eastAsia="en-US"/>
        </w:rPr>
        <w:t xml:space="preserve">Ostali nespomenuti rashodi poslovanja unutar skupine materijalnih rashoda su naknade za rad predstavničkih i izvršnih tijela, povjerenstava i slično, rashodi za reprezentaciju, sudske, administrativne i slične pristojbe, te rashodi protokola i oni su u razdoblju od 01. siječnja do </w:t>
      </w:r>
      <w:r w:rsidR="00EA313B">
        <w:rPr>
          <w:rFonts w:ascii="Times New Roman" w:eastAsiaTheme="minorHAnsi" w:hAnsi="Times New Roman"/>
          <w:lang w:eastAsia="en-US"/>
        </w:rPr>
        <w:t>31. prosinca</w:t>
      </w:r>
      <w:r w:rsidRPr="00CF721E">
        <w:rPr>
          <w:rFonts w:ascii="Times New Roman" w:eastAsiaTheme="minorHAnsi" w:hAnsi="Times New Roman"/>
          <w:lang w:eastAsia="en-US"/>
        </w:rPr>
        <w:t xml:space="preserve"> 202</w:t>
      </w:r>
      <w:r>
        <w:rPr>
          <w:rFonts w:ascii="Times New Roman" w:eastAsiaTheme="minorHAnsi" w:hAnsi="Times New Roman"/>
          <w:lang w:eastAsia="en-US"/>
        </w:rPr>
        <w:t>5</w:t>
      </w:r>
      <w:r w:rsidRPr="00CF721E">
        <w:rPr>
          <w:rFonts w:ascii="Times New Roman" w:eastAsiaTheme="minorHAnsi" w:hAnsi="Times New Roman"/>
          <w:lang w:eastAsia="en-US"/>
        </w:rPr>
        <w:t xml:space="preserve">. godine realizirani u iznosu od </w:t>
      </w:r>
      <w:r w:rsidR="008F79CE">
        <w:rPr>
          <w:rFonts w:ascii="Times New Roman" w:eastAsiaTheme="minorHAnsi" w:hAnsi="Times New Roman"/>
          <w:lang w:eastAsia="en-US"/>
        </w:rPr>
        <w:t>50.604,23</w:t>
      </w:r>
      <w:r>
        <w:rPr>
          <w:rFonts w:ascii="Times New Roman" w:eastAsiaTheme="minorHAnsi" w:hAnsi="Times New Roman"/>
          <w:lang w:eastAsia="en-US"/>
        </w:rPr>
        <w:t xml:space="preserve"> EUR</w:t>
      </w:r>
      <w:r w:rsidRPr="00CF721E">
        <w:rPr>
          <w:rFonts w:ascii="Times New Roman" w:eastAsiaTheme="minorHAnsi" w:hAnsi="Times New Roman"/>
          <w:lang w:eastAsia="en-US"/>
        </w:rPr>
        <w:t>.</w:t>
      </w:r>
      <w:r>
        <w:rPr>
          <w:rFonts w:ascii="Times New Roman" w:eastAsiaTheme="minorHAnsi" w:hAnsi="Times New Roman"/>
          <w:lang w:eastAsia="en-US"/>
        </w:rPr>
        <w:t xml:space="preserve"> U ovu podskupinu rashoda evidentirane su i naknade povjerenstvima i biračkim odborima za održane lokalne izbore, te iz tog razloga te naknade bilježe veća odstupanja u odnosu na usporedno izvještajno razd</w:t>
      </w:r>
      <w:r w:rsidR="008F79CE">
        <w:rPr>
          <w:rFonts w:ascii="Times New Roman" w:eastAsiaTheme="minorHAnsi" w:hAnsi="Times New Roman"/>
          <w:lang w:eastAsia="en-US"/>
        </w:rPr>
        <w:t>oblje 2025</w:t>
      </w:r>
      <w:r>
        <w:rPr>
          <w:rFonts w:ascii="Times New Roman" w:eastAsiaTheme="minorHAnsi" w:hAnsi="Times New Roman"/>
          <w:lang w:eastAsia="en-US"/>
        </w:rPr>
        <w:t>. godine.</w:t>
      </w:r>
    </w:p>
    <w:p w14:paraId="5C604D22" w14:textId="77777777" w:rsidR="00413B7C"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757BF1EE" w14:textId="2867B6CB" w:rsidR="00413B7C" w:rsidRDefault="00413B7C" w:rsidP="00413B7C">
      <w:pPr>
        <w:spacing w:after="0" w:line="240" w:lineRule="auto"/>
        <w:ind w:right="70"/>
        <w:jc w:val="both"/>
        <w:rPr>
          <w:rFonts w:ascii="Times New Roman" w:hAnsi="Times New Roman"/>
          <w:bCs/>
          <w:i/>
        </w:rPr>
      </w:pPr>
      <w:r>
        <w:rPr>
          <w:rFonts w:ascii="Times New Roman" w:hAnsi="Times New Roman"/>
          <w:b/>
          <w:i/>
        </w:rPr>
        <w:lastRenderedPageBreak/>
        <w:t>Tablica</w:t>
      </w:r>
      <w:r w:rsidRPr="009D61E7">
        <w:rPr>
          <w:rFonts w:ascii="Times New Roman" w:hAnsi="Times New Roman"/>
          <w:b/>
          <w:i/>
        </w:rPr>
        <w:t xml:space="preserve"> broj</w:t>
      </w:r>
      <w:r>
        <w:rPr>
          <w:rFonts w:ascii="Times New Roman" w:hAnsi="Times New Roman"/>
          <w:b/>
          <w:i/>
        </w:rPr>
        <w:t xml:space="preserve"> 2</w:t>
      </w:r>
      <w:r w:rsidRPr="009D61E7">
        <w:rPr>
          <w:rFonts w:ascii="Times New Roman" w:hAnsi="Times New Roman"/>
          <w:b/>
          <w:i/>
        </w:rPr>
        <w:t>.:</w:t>
      </w:r>
      <w:r w:rsidRPr="009D61E7">
        <w:rPr>
          <w:rFonts w:ascii="Times New Roman" w:hAnsi="Times New Roman"/>
          <w:i/>
        </w:rPr>
        <w:t xml:space="preserve"> U</w:t>
      </w:r>
      <w:r w:rsidRPr="009D61E7">
        <w:rPr>
          <w:rFonts w:ascii="Times New Roman" w:hAnsi="Times New Roman"/>
          <w:bCs/>
          <w:i/>
        </w:rPr>
        <w:t xml:space="preserve">sporedni prikaz realizacije </w:t>
      </w:r>
      <w:r>
        <w:rPr>
          <w:rFonts w:ascii="Times New Roman" w:hAnsi="Times New Roman"/>
          <w:bCs/>
          <w:i/>
        </w:rPr>
        <w:t xml:space="preserve">Ostalih nespomenutih rashoda poslovanja u </w:t>
      </w:r>
      <w:r w:rsidRPr="009D61E7">
        <w:rPr>
          <w:rFonts w:ascii="Times New Roman" w:hAnsi="Times New Roman"/>
          <w:bCs/>
          <w:i/>
        </w:rPr>
        <w:t xml:space="preserve">razdoblju </w:t>
      </w:r>
      <w:r w:rsidRPr="009D61E7">
        <w:rPr>
          <w:rFonts w:ascii="Times New Roman" w:hAnsi="Times New Roman"/>
          <w:i/>
        </w:rPr>
        <w:t xml:space="preserve"> </w:t>
      </w:r>
      <w:r w:rsidRPr="009D61E7">
        <w:rPr>
          <w:rFonts w:ascii="Times New Roman" w:hAnsi="Times New Roman"/>
          <w:bCs/>
          <w:i/>
        </w:rPr>
        <w:t xml:space="preserve">od 01. siječnja do </w:t>
      </w:r>
      <w:r w:rsidR="008F79CE">
        <w:rPr>
          <w:rFonts w:ascii="Times New Roman" w:hAnsi="Times New Roman"/>
          <w:bCs/>
          <w:i/>
        </w:rPr>
        <w:t>31. prosinca</w:t>
      </w:r>
      <w:r w:rsidRPr="009D61E7">
        <w:rPr>
          <w:rFonts w:ascii="Times New Roman" w:hAnsi="Times New Roman"/>
          <w:bCs/>
          <w:i/>
        </w:rPr>
        <w:t xml:space="preserve"> 202</w:t>
      </w:r>
      <w:r>
        <w:rPr>
          <w:rFonts w:ascii="Times New Roman" w:hAnsi="Times New Roman"/>
          <w:bCs/>
          <w:i/>
        </w:rPr>
        <w:t>5</w:t>
      </w:r>
      <w:r w:rsidRPr="009D61E7">
        <w:rPr>
          <w:rFonts w:ascii="Times New Roman" w:hAnsi="Times New Roman"/>
          <w:bCs/>
          <w:i/>
        </w:rPr>
        <w:t>. godine u odnosu na prethodnu 202</w:t>
      </w:r>
      <w:r>
        <w:rPr>
          <w:rFonts w:ascii="Times New Roman" w:hAnsi="Times New Roman"/>
          <w:bCs/>
          <w:i/>
        </w:rPr>
        <w:t>4</w:t>
      </w:r>
      <w:r w:rsidRPr="009D61E7">
        <w:rPr>
          <w:rFonts w:ascii="Times New Roman" w:hAnsi="Times New Roman"/>
          <w:bCs/>
          <w:i/>
        </w:rPr>
        <w:t xml:space="preserve">. godinu    </w:t>
      </w:r>
    </w:p>
    <w:p w14:paraId="2EFD3CD6" w14:textId="77777777" w:rsidR="00413B7C" w:rsidRDefault="00413B7C" w:rsidP="00413B7C">
      <w:pPr>
        <w:spacing w:after="0" w:line="240" w:lineRule="auto"/>
        <w:ind w:right="70"/>
        <w:jc w:val="both"/>
        <w:rPr>
          <w:rFonts w:ascii="Times New Roman" w:hAnsi="Times New Roman"/>
          <w:bCs/>
          <w:i/>
        </w:rPr>
      </w:pPr>
    </w:p>
    <w:tbl>
      <w:tblPr>
        <w:tblW w:w="9388" w:type="dxa"/>
        <w:tblLook w:val="04A0" w:firstRow="1" w:lastRow="0" w:firstColumn="1" w:lastColumn="0" w:noHBand="0" w:noVBand="1"/>
      </w:tblPr>
      <w:tblGrid>
        <w:gridCol w:w="846"/>
        <w:gridCol w:w="4111"/>
        <w:gridCol w:w="2126"/>
        <w:gridCol w:w="2305"/>
      </w:tblGrid>
      <w:tr w:rsidR="00413B7C" w:rsidRPr="00CC1EE7" w14:paraId="55C55DEE" w14:textId="77777777" w:rsidTr="007D3E89">
        <w:trPr>
          <w:trHeight w:val="945"/>
        </w:trPr>
        <w:tc>
          <w:tcPr>
            <w:tcW w:w="846"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44139D82" w14:textId="77777777" w:rsidR="00413B7C" w:rsidRPr="00CC1EE7" w:rsidRDefault="00413B7C" w:rsidP="007D3E89">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Račun</w:t>
            </w:r>
          </w:p>
        </w:tc>
        <w:tc>
          <w:tcPr>
            <w:tcW w:w="4111" w:type="dxa"/>
            <w:tcBorders>
              <w:top w:val="single" w:sz="4" w:space="0" w:color="000000"/>
              <w:left w:val="nil"/>
              <w:bottom w:val="single" w:sz="4" w:space="0" w:color="000000"/>
              <w:right w:val="single" w:sz="4" w:space="0" w:color="000000"/>
            </w:tcBorders>
            <w:shd w:val="clear" w:color="000000" w:fill="C0C0C0"/>
            <w:noWrap/>
            <w:vAlign w:val="center"/>
            <w:hideMark/>
          </w:tcPr>
          <w:p w14:paraId="3F8E4DCE" w14:textId="77777777" w:rsidR="00413B7C" w:rsidRPr="00CC1EE7" w:rsidRDefault="00413B7C" w:rsidP="007D3E89">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Naziv računa</w:t>
            </w:r>
          </w:p>
        </w:tc>
        <w:tc>
          <w:tcPr>
            <w:tcW w:w="2126" w:type="dxa"/>
            <w:tcBorders>
              <w:top w:val="single" w:sz="4" w:space="0" w:color="000000"/>
              <w:left w:val="nil"/>
              <w:bottom w:val="single" w:sz="4" w:space="0" w:color="000000"/>
              <w:right w:val="single" w:sz="4" w:space="0" w:color="000000"/>
            </w:tcBorders>
            <w:shd w:val="clear" w:color="000000" w:fill="C0C0C0"/>
            <w:vAlign w:val="center"/>
            <w:hideMark/>
          </w:tcPr>
          <w:p w14:paraId="514BBFE9" w14:textId="3F0FEDD0" w:rsidR="00413B7C" w:rsidRPr="00CC1EE7" w:rsidRDefault="00413B7C" w:rsidP="008F79CE">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Izvršenje</w:t>
            </w:r>
            <w:r w:rsidRPr="00CC1EE7">
              <w:rPr>
                <w:rFonts w:ascii="Times New Roman" w:hAnsi="Times New Roman"/>
                <w:b/>
                <w:bCs/>
                <w:color w:val="000000"/>
                <w:sz w:val="20"/>
                <w:szCs w:val="20"/>
              </w:rPr>
              <w:br/>
              <w:t>1.1.2024.-</w:t>
            </w:r>
            <w:r w:rsidR="008F79CE">
              <w:rPr>
                <w:rFonts w:ascii="Times New Roman" w:hAnsi="Times New Roman"/>
                <w:b/>
                <w:bCs/>
                <w:color w:val="000000"/>
                <w:sz w:val="20"/>
                <w:szCs w:val="20"/>
              </w:rPr>
              <w:t>31.12</w:t>
            </w:r>
            <w:r w:rsidRPr="00CC1EE7">
              <w:rPr>
                <w:rFonts w:ascii="Times New Roman" w:hAnsi="Times New Roman"/>
                <w:b/>
                <w:bCs/>
                <w:color w:val="000000"/>
                <w:sz w:val="20"/>
                <w:szCs w:val="20"/>
              </w:rPr>
              <w:t>.2024.</w:t>
            </w:r>
          </w:p>
        </w:tc>
        <w:tc>
          <w:tcPr>
            <w:tcW w:w="2305" w:type="dxa"/>
            <w:tcBorders>
              <w:top w:val="single" w:sz="4" w:space="0" w:color="000000"/>
              <w:left w:val="nil"/>
              <w:bottom w:val="single" w:sz="4" w:space="0" w:color="000000"/>
              <w:right w:val="single" w:sz="4" w:space="0" w:color="000000"/>
            </w:tcBorders>
            <w:shd w:val="clear" w:color="000000" w:fill="C0C0C0"/>
            <w:vAlign w:val="center"/>
            <w:hideMark/>
          </w:tcPr>
          <w:p w14:paraId="620E32F2" w14:textId="7F7DB60C" w:rsidR="00413B7C" w:rsidRPr="00CC1EE7" w:rsidRDefault="00413B7C" w:rsidP="008F79CE">
            <w:pPr>
              <w:spacing w:after="0" w:line="240" w:lineRule="auto"/>
              <w:jc w:val="center"/>
              <w:rPr>
                <w:rFonts w:ascii="Times New Roman" w:hAnsi="Times New Roman"/>
                <w:b/>
                <w:bCs/>
                <w:color w:val="000000"/>
                <w:sz w:val="20"/>
                <w:szCs w:val="20"/>
              </w:rPr>
            </w:pPr>
            <w:r w:rsidRPr="00CC1EE7">
              <w:rPr>
                <w:rFonts w:ascii="Times New Roman" w:hAnsi="Times New Roman"/>
                <w:b/>
                <w:bCs/>
                <w:color w:val="000000"/>
                <w:sz w:val="20"/>
                <w:szCs w:val="20"/>
              </w:rPr>
              <w:t>Izvršenje</w:t>
            </w:r>
            <w:r w:rsidRPr="00CC1EE7">
              <w:rPr>
                <w:rFonts w:ascii="Times New Roman" w:hAnsi="Times New Roman"/>
                <w:b/>
                <w:bCs/>
                <w:color w:val="000000"/>
                <w:sz w:val="20"/>
                <w:szCs w:val="20"/>
              </w:rPr>
              <w:br/>
              <w:t>1.1.2025.-</w:t>
            </w:r>
            <w:r w:rsidR="008F79CE">
              <w:rPr>
                <w:rFonts w:ascii="Times New Roman" w:hAnsi="Times New Roman"/>
                <w:b/>
                <w:bCs/>
                <w:color w:val="000000"/>
                <w:sz w:val="20"/>
                <w:szCs w:val="20"/>
              </w:rPr>
              <w:t>31.12</w:t>
            </w:r>
            <w:r w:rsidRPr="00CC1EE7">
              <w:rPr>
                <w:rFonts w:ascii="Times New Roman" w:hAnsi="Times New Roman"/>
                <w:b/>
                <w:bCs/>
                <w:color w:val="000000"/>
                <w:sz w:val="20"/>
                <w:szCs w:val="20"/>
              </w:rPr>
              <w:t>.2025.</w:t>
            </w:r>
          </w:p>
        </w:tc>
      </w:tr>
      <w:tr w:rsidR="00413B7C" w:rsidRPr="00CC1EE7" w14:paraId="221C7AFD"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0FB16282" w14:textId="77777777" w:rsidR="00413B7C" w:rsidRPr="00CC1EE7" w:rsidRDefault="00413B7C" w:rsidP="007D3E89">
            <w:pPr>
              <w:spacing w:after="0" w:line="240" w:lineRule="auto"/>
              <w:jc w:val="right"/>
              <w:rPr>
                <w:rFonts w:ascii="Times New Roman" w:hAnsi="Times New Roman"/>
                <w:b/>
                <w:bCs/>
                <w:color w:val="000000"/>
                <w:sz w:val="20"/>
                <w:szCs w:val="20"/>
              </w:rPr>
            </w:pPr>
            <w:r w:rsidRPr="00CC1EE7">
              <w:rPr>
                <w:rFonts w:ascii="Times New Roman" w:hAnsi="Times New Roman"/>
                <w:b/>
                <w:bCs/>
                <w:color w:val="000000"/>
                <w:sz w:val="20"/>
                <w:szCs w:val="20"/>
              </w:rPr>
              <w:t>329</w:t>
            </w:r>
          </w:p>
        </w:tc>
        <w:tc>
          <w:tcPr>
            <w:tcW w:w="4111" w:type="dxa"/>
            <w:tcBorders>
              <w:top w:val="nil"/>
              <w:left w:val="nil"/>
              <w:bottom w:val="single" w:sz="4" w:space="0" w:color="000000"/>
              <w:right w:val="single" w:sz="4" w:space="0" w:color="000000"/>
            </w:tcBorders>
            <w:shd w:val="clear" w:color="000000" w:fill="FFFFFF"/>
            <w:noWrap/>
            <w:hideMark/>
          </w:tcPr>
          <w:p w14:paraId="231CD00C" w14:textId="77777777" w:rsidR="00413B7C" w:rsidRPr="00CC1EE7" w:rsidRDefault="00413B7C" w:rsidP="007D3E89">
            <w:pPr>
              <w:spacing w:after="0" w:line="240" w:lineRule="auto"/>
              <w:rPr>
                <w:rFonts w:ascii="Times New Roman" w:hAnsi="Times New Roman"/>
                <w:b/>
                <w:bCs/>
                <w:color w:val="000000"/>
                <w:sz w:val="20"/>
                <w:szCs w:val="20"/>
              </w:rPr>
            </w:pPr>
            <w:r w:rsidRPr="00CC1EE7">
              <w:rPr>
                <w:rFonts w:ascii="Times New Roman" w:hAnsi="Times New Roman"/>
                <w:b/>
                <w:bCs/>
                <w:color w:val="000000"/>
                <w:sz w:val="20"/>
                <w:szCs w:val="20"/>
              </w:rPr>
              <w:t>Ostali nespomenuti rashodi poslovanja</w:t>
            </w:r>
          </w:p>
        </w:tc>
        <w:tc>
          <w:tcPr>
            <w:tcW w:w="2126" w:type="dxa"/>
            <w:tcBorders>
              <w:top w:val="nil"/>
              <w:left w:val="nil"/>
              <w:bottom w:val="single" w:sz="4" w:space="0" w:color="000000"/>
              <w:right w:val="single" w:sz="4" w:space="0" w:color="000000"/>
            </w:tcBorders>
            <w:shd w:val="clear" w:color="000000" w:fill="FFFFFF"/>
            <w:noWrap/>
          </w:tcPr>
          <w:p w14:paraId="23662664" w14:textId="3ED55567" w:rsidR="00413B7C" w:rsidRPr="00CC1EE7" w:rsidRDefault="005A1392"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28.368,98</w:t>
            </w:r>
          </w:p>
        </w:tc>
        <w:tc>
          <w:tcPr>
            <w:tcW w:w="2305" w:type="dxa"/>
            <w:tcBorders>
              <w:top w:val="nil"/>
              <w:left w:val="nil"/>
              <w:bottom w:val="single" w:sz="4" w:space="0" w:color="000000"/>
              <w:right w:val="single" w:sz="4" w:space="0" w:color="000000"/>
            </w:tcBorders>
            <w:shd w:val="clear" w:color="000000" w:fill="FFFFFF"/>
            <w:noWrap/>
          </w:tcPr>
          <w:p w14:paraId="20DB8F7D" w14:textId="38FE6A46" w:rsidR="00413B7C" w:rsidRPr="00CC1EE7" w:rsidRDefault="005A1392"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50.604,23</w:t>
            </w:r>
          </w:p>
        </w:tc>
      </w:tr>
      <w:tr w:rsidR="00413B7C" w:rsidRPr="00CC1EE7" w14:paraId="32A0D5D1"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39A707D0"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3291</w:t>
            </w:r>
          </w:p>
        </w:tc>
        <w:tc>
          <w:tcPr>
            <w:tcW w:w="4111" w:type="dxa"/>
            <w:tcBorders>
              <w:top w:val="nil"/>
              <w:left w:val="nil"/>
              <w:bottom w:val="single" w:sz="4" w:space="0" w:color="000000"/>
              <w:right w:val="single" w:sz="4" w:space="0" w:color="000000"/>
            </w:tcBorders>
            <w:shd w:val="clear" w:color="000000" w:fill="FFFFFF"/>
            <w:noWrap/>
            <w:hideMark/>
          </w:tcPr>
          <w:p w14:paraId="57E3907A"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Naknade za rad predstavničkih i izvršnih tijela, povjerenstava i slično</w:t>
            </w:r>
          </w:p>
        </w:tc>
        <w:tc>
          <w:tcPr>
            <w:tcW w:w="2126" w:type="dxa"/>
            <w:tcBorders>
              <w:top w:val="nil"/>
              <w:left w:val="nil"/>
              <w:bottom w:val="single" w:sz="4" w:space="0" w:color="000000"/>
              <w:right w:val="single" w:sz="4" w:space="0" w:color="000000"/>
            </w:tcBorders>
            <w:shd w:val="clear" w:color="000000" w:fill="FFFFFF"/>
            <w:noWrap/>
          </w:tcPr>
          <w:p w14:paraId="502A70F6" w14:textId="1416A701"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3.382,62</w:t>
            </w:r>
          </w:p>
        </w:tc>
        <w:tc>
          <w:tcPr>
            <w:tcW w:w="2305" w:type="dxa"/>
            <w:tcBorders>
              <w:top w:val="nil"/>
              <w:left w:val="nil"/>
              <w:bottom w:val="single" w:sz="4" w:space="0" w:color="000000"/>
              <w:right w:val="single" w:sz="4" w:space="0" w:color="000000"/>
            </w:tcBorders>
            <w:shd w:val="clear" w:color="000000" w:fill="FFFFFF"/>
            <w:noWrap/>
          </w:tcPr>
          <w:p w14:paraId="073C62A4" w14:textId="2FD6813D"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21.766,62</w:t>
            </w:r>
          </w:p>
        </w:tc>
      </w:tr>
      <w:tr w:rsidR="00413B7C" w:rsidRPr="00CC1EE7" w14:paraId="7B3122BD"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5F377B28"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3292</w:t>
            </w:r>
          </w:p>
        </w:tc>
        <w:tc>
          <w:tcPr>
            <w:tcW w:w="4111" w:type="dxa"/>
            <w:tcBorders>
              <w:top w:val="nil"/>
              <w:left w:val="nil"/>
              <w:bottom w:val="single" w:sz="4" w:space="0" w:color="000000"/>
              <w:right w:val="single" w:sz="4" w:space="0" w:color="000000"/>
            </w:tcBorders>
            <w:shd w:val="clear" w:color="000000" w:fill="FFFFFF"/>
            <w:noWrap/>
            <w:hideMark/>
          </w:tcPr>
          <w:p w14:paraId="6E7C8B44"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Premije osiguranja</w:t>
            </w:r>
          </w:p>
        </w:tc>
        <w:tc>
          <w:tcPr>
            <w:tcW w:w="2126" w:type="dxa"/>
            <w:tcBorders>
              <w:top w:val="nil"/>
              <w:left w:val="nil"/>
              <w:bottom w:val="single" w:sz="4" w:space="0" w:color="000000"/>
              <w:right w:val="single" w:sz="4" w:space="0" w:color="000000"/>
            </w:tcBorders>
            <w:shd w:val="clear" w:color="000000" w:fill="FFFFFF"/>
            <w:noWrap/>
          </w:tcPr>
          <w:p w14:paraId="3AF79276" w14:textId="54E7E606"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5.520,79</w:t>
            </w:r>
          </w:p>
        </w:tc>
        <w:tc>
          <w:tcPr>
            <w:tcW w:w="2305" w:type="dxa"/>
            <w:tcBorders>
              <w:top w:val="nil"/>
              <w:left w:val="nil"/>
              <w:bottom w:val="single" w:sz="4" w:space="0" w:color="000000"/>
              <w:right w:val="single" w:sz="4" w:space="0" w:color="000000"/>
            </w:tcBorders>
            <w:shd w:val="clear" w:color="000000" w:fill="FFFFFF"/>
            <w:noWrap/>
          </w:tcPr>
          <w:p w14:paraId="46BA7BEE" w14:textId="4424A8AD"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6.331,09</w:t>
            </w:r>
          </w:p>
        </w:tc>
      </w:tr>
      <w:tr w:rsidR="00413B7C" w:rsidRPr="00CC1EE7" w14:paraId="79EF8D2A"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270E9F3A"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3293</w:t>
            </w:r>
          </w:p>
        </w:tc>
        <w:tc>
          <w:tcPr>
            <w:tcW w:w="4111" w:type="dxa"/>
            <w:tcBorders>
              <w:top w:val="nil"/>
              <w:left w:val="nil"/>
              <w:bottom w:val="single" w:sz="4" w:space="0" w:color="000000"/>
              <w:right w:val="single" w:sz="4" w:space="0" w:color="000000"/>
            </w:tcBorders>
            <w:shd w:val="clear" w:color="000000" w:fill="FFFFFF"/>
            <w:noWrap/>
            <w:hideMark/>
          </w:tcPr>
          <w:p w14:paraId="76FF4391"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Reprezentacija</w:t>
            </w:r>
          </w:p>
        </w:tc>
        <w:tc>
          <w:tcPr>
            <w:tcW w:w="2126" w:type="dxa"/>
            <w:tcBorders>
              <w:top w:val="nil"/>
              <w:left w:val="nil"/>
              <w:bottom w:val="single" w:sz="4" w:space="0" w:color="000000"/>
              <w:right w:val="single" w:sz="4" w:space="0" w:color="000000"/>
            </w:tcBorders>
            <w:shd w:val="clear" w:color="000000" w:fill="FFFFFF"/>
            <w:noWrap/>
          </w:tcPr>
          <w:p w14:paraId="39D0072A" w14:textId="4DEEBBBE"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7.630,02</w:t>
            </w:r>
          </w:p>
        </w:tc>
        <w:tc>
          <w:tcPr>
            <w:tcW w:w="2305" w:type="dxa"/>
            <w:tcBorders>
              <w:top w:val="nil"/>
              <w:left w:val="nil"/>
              <w:bottom w:val="single" w:sz="4" w:space="0" w:color="000000"/>
              <w:right w:val="single" w:sz="4" w:space="0" w:color="000000"/>
            </w:tcBorders>
            <w:shd w:val="clear" w:color="000000" w:fill="FFFFFF"/>
            <w:noWrap/>
          </w:tcPr>
          <w:p w14:paraId="7CAFA8E6" w14:textId="021307A5"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7.015,16</w:t>
            </w:r>
          </w:p>
        </w:tc>
      </w:tr>
      <w:tr w:rsidR="00413B7C" w:rsidRPr="00CC1EE7" w14:paraId="5818E4B0"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76079025"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3294</w:t>
            </w:r>
          </w:p>
        </w:tc>
        <w:tc>
          <w:tcPr>
            <w:tcW w:w="4111" w:type="dxa"/>
            <w:tcBorders>
              <w:top w:val="nil"/>
              <w:left w:val="nil"/>
              <w:bottom w:val="single" w:sz="4" w:space="0" w:color="000000"/>
              <w:right w:val="single" w:sz="4" w:space="0" w:color="000000"/>
            </w:tcBorders>
            <w:shd w:val="clear" w:color="000000" w:fill="FFFFFF"/>
            <w:noWrap/>
            <w:hideMark/>
          </w:tcPr>
          <w:p w14:paraId="1B31E071"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Članarine i norme</w:t>
            </w:r>
          </w:p>
        </w:tc>
        <w:tc>
          <w:tcPr>
            <w:tcW w:w="2126" w:type="dxa"/>
            <w:tcBorders>
              <w:top w:val="nil"/>
              <w:left w:val="nil"/>
              <w:bottom w:val="single" w:sz="4" w:space="0" w:color="000000"/>
              <w:right w:val="single" w:sz="4" w:space="0" w:color="000000"/>
            </w:tcBorders>
            <w:shd w:val="clear" w:color="000000" w:fill="FFFFFF"/>
            <w:noWrap/>
          </w:tcPr>
          <w:p w14:paraId="637C1269" w14:textId="7EF96962"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1.177,34</w:t>
            </w:r>
          </w:p>
        </w:tc>
        <w:tc>
          <w:tcPr>
            <w:tcW w:w="2305" w:type="dxa"/>
            <w:tcBorders>
              <w:top w:val="nil"/>
              <w:left w:val="nil"/>
              <w:bottom w:val="single" w:sz="4" w:space="0" w:color="000000"/>
              <w:right w:val="single" w:sz="4" w:space="0" w:color="000000"/>
            </w:tcBorders>
            <w:shd w:val="clear" w:color="000000" w:fill="FFFFFF"/>
            <w:noWrap/>
          </w:tcPr>
          <w:p w14:paraId="29DB2B4D" w14:textId="6705FC34"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1.187,84</w:t>
            </w:r>
          </w:p>
        </w:tc>
      </w:tr>
      <w:tr w:rsidR="00413B7C" w:rsidRPr="00CC1EE7" w14:paraId="5364FEFE"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4E0A2B39"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3295</w:t>
            </w:r>
          </w:p>
        </w:tc>
        <w:tc>
          <w:tcPr>
            <w:tcW w:w="4111" w:type="dxa"/>
            <w:tcBorders>
              <w:top w:val="nil"/>
              <w:left w:val="nil"/>
              <w:bottom w:val="single" w:sz="4" w:space="0" w:color="000000"/>
              <w:right w:val="single" w:sz="4" w:space="0" w:color="000000"/>
            </w:tcBorders>
            <w:shd w:val="clear" w:color="000000" w:fill="FFFFFF"/>
            <w:noWrap/>
            <w:hideMark/>
          </w:tcPr>
          <w:p w14:paraId="77290A23"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Pristojbe i naknade</w:t>
            </w:r>
          </w:p>
        </w:tc>
        <w:tc>
          <w:tcPr>
            <w:tcW w:w="2126" w:type="dxa"/>
            <w:tcBorders>
              <w:top w:val="nil"/>
              <w:left w:val="nil"/>
              <w:bottom w:val="single" w:sz="4" w:space="0" w:color="000000"/>
              <w:right w:val="single" w:sz="4" w:space="0" w:color="000000"/>
            </w:tcBorders>
            <w:shd w:val="clear" w:color="000000" w:fill="FFFFFF"/>
            <w:noWrap/>
          </w:tcPr>
          <w:p w14:paraId="7C76D826" w14:textId="53806F13"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8.571,03</w:t>
            </w:r>
          </w:p>
        </w:tc>
        <w:tc>
          <w:tcPr>
            <w:tcW w:w="2305" w:type="dxa"/>
            <w:tcBorders>
              <w:top w:val="nil"/>
              <w:left w:val="nil"/>
              <w:bottom w:val="single" w:sz="4" w:space="0" w:color="000000"/>
              <w:right w:val="single" w:sz="4" w:space="0" w:color="000000"/>
            </w:tcBorders>
            <w:shd w:val="clear" w:color="000000" w:fill="FFFFFF"/>
            <w:noWrap/>
          </w:tcPr>
          <w:p w14:paraId="764F1852" w14:textId="4126048F"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10.822,07</w:t>
            </w:r>
          </w:p>
        </w:tc>
      </w:tr>
      <w:tr w:rsidR="00413B7C" w:rsidRPr="00CC1EE7" w14:paraId="4E9FB844"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64974431"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3296</w:t>
            </w:r>
          </w:p>
        </w:tc>
        <w:tc>
          <w:tcPr>
            <w:tcW w:w="4111" w:type="dxa"/>
            <w:tcBorders>
              <w:top w:val="nil"/>
              <w:left w:val="nil"/>
              <w:bottom w:val="single" w:sz="4" w:space="0" w:color="000000"/>
              <w:right w:val="single" w:sz="4" w:space="0" w:color="000000"/>
            </w:tcBorders>
            <w:shd w:val="clear" w:color="000000" w:fill="FFFFFF"/>
            <w:noWrap/>
            <w:hideMark/>
          </w:tcPr>
          <w:p w14:paraId="1A1FF78D"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Troškovi sudskih postupaka</w:t>
            </w:r>
          </w:p>
        </w:tc>
        <w:tc>
          <w:tcPr>
            <w:tcW w:w="2126" w:type="dxa"/>
            <w:tcBorders>
              <w:top w:val="nil"/>
              <w:left w:val="nil"/>
              <w:bottom w:val="single" w:sz="4" w:space="0" w:color="000000"/>
              <w:right w:val="single" w:sz="4" w:space="0" w:color="000000"/>
            </w:tcBorders>
            <w:shd w:val="clear" w:color="000000" w:fill="FFFFFF"/>
            <w:noWrap/>
          </w:tcPr>
          <w:p w14:paraId="57689757" w14:textId="5BEFC3BD"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333,19</w:t>
            </w:r>
          </w:p>
        </w:tc>
        <w:tc>
          <w:tcPr>
            <w:tcW w:w="2305" w:type="dxa"/>
            <w:tcBorders>
              <w:top w:val="nil"/>
              <w:left w:val="nil"/>
              <w:bottom w:val="single" w:sz="4" w:space="0" w:color="000000"/>
              <w:right w:val="single" w:sz="4" w:space="0" w:color="000000"/>
            </w:tcBorders>
            <w:shd w:val="clear" w:color="000000" w:fill="FFFFFF"/>
            <w:noWrap/>
          </w:tcPr>
          <w:p w14:paraId="6282CA82" w14:textId="485E5503"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528,66</w:t>
            </w:r>
          </w:p>
        </w:tc>
      </w:tr>
      <w:tr w:rsidR="00413B7C" w:rsidRPr="00CC1EE7" w14:paraId="369B1A3F" w14:textId="77777777" w:rsidTr="008F79CE">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606CD6C7" w14:textId="77777777" w:rsidR="00413B7C" w:rsidRPr="00CC1EE7" w:rsidRDefault="00413B7C" w:rsidP="007D3E89">
            <w:pPr>
              <w:spacing w:after="0" w:line="240" w:lineRule="auto"/>
              <w:jc w:val="right"/>
              <w:rPr>
                <w:rFonts w:ascii="Times New Roman" w:hAnsi="Times New Roman"/>
                <w:color w:val="000000"/>
                <w:sz w:val="20"/>
                <w:szCs w:val="20"/>
              </w:rPr>
            </w:pPr>
            <w:r w:rsidRPr="00CC1EE7">
              <w:rPr>
                <w:rFonts w:ascii="Times New Roman" w:hAnsi="Times New Roman"/>
                <w:color w:val="000000"/>
                <w:sz w:val="20"/>
                <w:szCs w:val="20"/>
              </w:rPr>
              <w:t>3299</w:t>
            </w:r>
          </w:p>
        </w:tc>
        <w:tc>
          <w:tcPr>
            <w:tcW w:w="4111" w:type="dxa"/>
            <w:tcBorders>
              <w:top w:val="nil"/>
              <w:left w:val="nil"/>
              <w:bottom w:val="single" w:sz="4" w:space="0" w:color="000000"/>
              <w:right w:val="single" w:sz="4" w:space="0" w:color="000000"/>
            </w:tcBorders>
            <w:shd w:val="clear" w:color="000000" w:fill="FFFFFF"/>
            <w:noWrap/>
            <w:hideMark/>
          </w:tcPr>
          <w:p w14:paraId="4A787479" w14:textId="77777777" w:rsidR="00413B7C" w:rsidRPr="00CC1EE7" w:rsidRDefault="00413B7C" w:rsidP="007D3E89">
            <w:pPr>
              <w:spacing w:after="0" w:line="240" w:lineRule="auto"/>
              <w:rPr>
                <w:rFonts w:ascii="Times New Roman" w:hAnsi="Times New Roman"/>
                <w:color w:val="000000"/>
                <w:sz w:val="20"/>
                <w:szCs w:val="20"/>
              </w:rPr>
            </w:pPr>
            <w:r w:rsidRPr="00CC1EE7">
              <w:rPr>
                <w:rFonts w:ascii="Times New Roman" w:hAnsi="Times New Roman"/>
                <w:color w:val="000000"/>
                <w:sz w:val="20"/>
                <w:szCs w:val="20"/>
              </w:rPr>
              <w:t>Ostali nespomenuti rashodi poslovanja</w:t>
            </w:r>
          </w:p>
        </w:tc>
        <w:tc>
          <w:tcPr>
            <w:tcW w:w="2126" w:type="dxa"/>
            <w:tcBorders>
              <w:top w:val="nil"/>
              <w:left w:val="nil"/>
              <w:bottom w:val="single" w:sz="4" w:space="0" w:color="000000"/>
              <w:right w:val="single" w:sz="4" w:space="0" w:color="000000"/>
            </w:tcBorders>
            <w:shd w:val="clear" w:color="000000" w:fill="FFFFFF"/>
            <w:noWrap/>
          </w:tcPr>
          <w:p w14:paraId="0A191A2E" w14:textId="39781F86"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1.753,99</w:t>
            </w:r>
          </w:p>
        </w:tc>
        <w:tc>
          <w:tcPr>
            <w:tcW w:w="2305" w:type="dxa"/>
            <w:tcBorders>
              <w:top w:val="nil"/>
              <w:left w:val="nil"/>
              <w:bottom w:val="single" w:sz="4" w:space="0" w:color="000000"/>
              <w:right w:val="single" w:sz="4" w:space="0" w:color="000000"/>
            </w:tcBorders>
            <w:shd w:val="clear" w:color="000000" w:fill="FFFFFF"/>
            <w:noWrap/>
          </w:tcPr>
          <w:p w14:paraId="000E107C" w14:textId="28F58C69" w:rsidR="00413B7C" w:rsidRPr="00CC1EE7" w:rsidRDefault="005A1392"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2.952,79</w:t>
            </w:r>
          </w:p>
        </w:tc>
      </w:tr>
    </w:tbl>
    <w:p w14:paraId="775894A1" w14:textId="77777777" w:rsidR="008F79CE" w:rsidRDefault="008F79CE" w:rsidP="00413B7C">
      <w:pPr>
        <w:autoSpaceDE w:val="0"/>
        <w:autoSpaceDN w:val="0"/>
        <w:adjustRightInd w:val="0"/>
        <w:spacing w:after="0" w:line="240" w:lineRule="auto"/>
        <w:jc w:val="both"/>
        <w:rPr>
          <w:rFonts w:ascii="Times New Roman" w:eastAsiaTheme="minorHAnsi" w:hAnsi="Times New Roman"/>
          <w:lang w:eastAsia="en-US"/>
        </w:rPr>
      </w:pPr>
    </w:p>
    <w:p w14:paraId="774ABB60" w14:textId="133FC258" w:rsidR="00413B7C" w:rsidRDefault="00413B7C" w:rsidP="00413B7C">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Pod ostalim nespomenutim rashodima poslovanja evidentirani su rashodi protokola – cvjetni aranžmani, izrada priznanja povodom obilježavanja Dana Općine i slično.</w:t>
      </w:r>
    </w:p>
    <w:p w14:paraId="09034D36" w14:textId="77777777" w:rsidR="00413B7C" w:rsidRPr="00C66E61"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5EB5C37E" w14:textId="77777777" w:rsidR="00413B7C" w:rsidRPr="00CF721E" w:rsidRDefault="00413B7C" w:rsidP="00413B7C">
      <w:pPr>
        <w:pStyle w:val="Default"/>
        <w:jc w:val="both"/>
        <w:rPr>
          <w:rFonts w:ascii="Times New Roman" w:hAnsi="Times New Roman" w:cs="Times New Roman"/>
          <w:b/>
          <w:bCs/>
          <w:i/>
          <w:color w:val="auto"/>
          <w:sz w:val="22"/>
          <w:szCs w:val="22"/>
        </w:rPr>
      </w:pPr>
      <w:r w:rsidRPr="00CF721E">
        <w:rPr>
          <w:rFonts w:ascii="Times New Roman" w:hAnsi="Times New Roman" w:cs="Times New Roman"/>
          <w:b/>
          <w:bCs/>
          <w:i/>
          <w:color w:val="auto"/>
          <w:sz w:val="22"/>
          <w:szCs w:val="22"/>
        </w:rPr>
        <w:t>Financijski rashodi</w:t>
      </w:r>
    </w:p>
    <w:p w14:paraId="6FA21C5A" w14:textId="28895F5A" w:rsidR="00281E4F" w:rsidRPr="00281E4F" w:rsidRDefault="00281E4F" w:rsidP="00281E4F">
      <w:pPr>
        <w:spacing w:line="240" w:lineRule="auto"/>
        <w:jc w:val="both"/>
        <w:rPr>
          <w:rFonts w:ascii="Times New Roman" w:hAnsi="Times New Roman"/>
        </w:rPr>
      </w:pPr>
      <w:r>
        <w:rPr>
          <w:rFonts w:ascii="Times New Roman" w:hAnsi="Times New Roman"/>
        </w:rPr>
        <w:t xml:space="preserve">Financijski rashodi </w:t>
      </w:r>
      <w:r w:rsidRPr="00281E4F">
        <w:rPr>
          <w:rFonts w:ascii="Times New Roman" w:hAnsi="Times New Roman"/>
        </w:rPr>
        <w:t xml:space="preserve">ostvareni su u iznosu 2.055,57 EUR i bilježe pad od </w:t>
      </w:r>
      <w:r>
        <w:rPr>
          <w:rFonts w:ascii="Times New Roman" w:hAnsi="Times New Roman"/>
        </w:rPr>
        <w:t>10,87</w:t>
      </w:r>
      <w:r w:rsidRPr="00281E4F">
        <w:rPr>
          <w:rFonts w:ascii="Times New Roman" w:hAnsi="Times New Roman"/>
        </w:rPr>
        <w:t xml:space="preserve"> % u odnosu na prethodno izvještajno razdoblje. Navedeni se troškovi prvenstveno odnose na troškove usluga banaka i platnog prometa, te troškove zateznih kamata zbog kašnjenja u plaćanju računa. Kamate za primljene kredite predstavljaju znatno postotno smanjenje u odnosu na isto prošlogodišnje razdoblje zbog dovršetka otplate svih dugoročnih kredita u prvom kvartalu tekuće godine.</w:t>
      </w:r>
    </w:p>
    <w:p w14:paraId="56524E85"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b/>
          <w:i/>
          <w:lang w:eastAsia="en-US"/>
        </w:rPr>
      </w:pPr>
      <w:r>
        <w:rPr>
          <w:rFonts w:ascii="Times New Roman" w:eastAsiaTheme="minorHAnsi" w:hAnsi="Times New Roman"/>
          <w:b/>
          <w:i/>
          <w:lang w:eastAsia="en-US"/>
        </w:rPr>
        <w:t>Subvencije</w:t>
      </w:r>
    </w:p>
    <w:p w14:paraId="2E9B3336" w14:textId="03537F93" w:rsidR="00413B7C" w:rsidRDefault="00413B7C" w:rsidP="00413B7C">
      <w:pPr>
        <w:autoSpaceDE w:val="0"/>
        <w:autoSpaceDN w:val="0"/>
        <w:adjustRightInd w:val="0"/>
        <w:spacing w:after="0" w:line="240" w:lineRule="auto"/>
        <w:jc w:val="both"/>
        <w:rPr>
          <w:rFonts w:ascii="Times New Roman" w:eastAsiaTheme="minorHAnsi" w:hAnsi="Times New Roman"/>
          <w:b/>
          <w:i/>
          <w:lang w:eastAsia="en-US"/>
        </w:rPr>
      </w:pPr>
      <w:r>
        <w:rPr>
          <w:rFonts w:ascii="Times New Roman" w:eastAsiaTheme="minorHAnsi" w:hAnsi="Times New Roman"/>
          <w:lang w:eastAsia="en-US"/>
        </w:rPr>
        <w:t xml:space="preserve">Rashodi za subvencije u tekućem izvještajnom razdoblju realizirani su u iznosu od </w:t>
      </w:r>
      <w:r w:rsidR="00387273">
        <w:rPr>
          <w:rFonts w:ascii="Times New Roman" w:eastAsiaTheme="minorHAnsi" w:hAnsi="Times New Roman"/>
          <w:lang w:eastAsia="en-US"/>
        </w:rPr>
        <w:t>4.222,80</w:t>
      </w:r>
      <w:r>
        <w:rPr>
          <w:rFonts w:ascii="Times New Roman" w:eastAsiaTheme="minorHAnsi" w:hAnsi="Times New Roman"/>
          <w:lang w:eastAsia="en-US"/>
        </w:rPr>
        <w:t xml:space="preserve"> EUR, u odnosu na </w:t>
      </w:r>
      <w:r w:rsidR="00387273">
        <w:rPr>
          <w:rFonts w:ascii="Times New Roman" w:eastAsiaTheme="minorHAnsi" w:hAnsi="Times New Roman"/>
          <w:lang w:eastAsia="en-US"/>
        </w:rPr>
        <w:t>2024. godinu</w:t>
      </w:r>
      <w:r>
        <w:rPr>
          <w:rFonts w:ascii="Times New Roman" w:eastAsiaTheme="minorHAnsi" w:hAnsi="Times New Roman"/>
          <w:lang w:eastAsia="en-US"/>
        </w:rPr>
        <w:t xml:space="preserve"> kada je njihova realizacija iznosila </w:t>
      </w:r>
      <w:r w:rsidR="00387273">
        <w:rPr>
          <w:rFonts w:ascii="Times New Roman" w:eastAsiaTheme="minorHAnsi" w:hAnsi="Times New Roman"/>
          <w:lang w:eastAsia="en-US"/>
        </w:rPr>
        <w:t>4.705,86</w:t>
      </w:r>
      <w:r>
        <w:rPr>
          <w:rFonts w:ascii="Times New Roman" w:eastAsiaTheme="minorHAnsi" w:hAnsi="Times New Roman"/>
          <w:lang w:eastAsia="en-US"/>
        </w:rPr>
        <w:t xml:space="preserve"> EUR. Rashodi za subvencije odnose se na troškove vezane za boravak djece sa područja općine u privatnim jaslicama ne temelju ispostavljenih faktura.</w:t>
      </w:r>
    </w:p>
    <w:p w14:paraId="130871DE" w14:textId="77777777" w:rsidR="00413B7C" w:rsidRDefault="00413B7C" w:rsidP="00413B7C">
      <w:pPr>
        <w:autoSpaceDE w:val="0"/>
        <w:autoSpaceDN w:val="0"/>
        <w:adjustRightInd w:val="0"/>
        <w:spacing w:after="0" w:line="240" w:lineRule="auto"/>
        <w:jc w:val="both"/>
        <w:rPr>
          <w:rFonts w:ascii="Times New Roman" w:eastAsiaTheme="minorHAnsi" w:hAnsi="Times New Roman"/>
          <w:b/>
          <w:i/>
          <w:lang w:eastAsia="en-US"/>
        </w:rPr>
      </w:pPr>
    </w:p>
    <w:p w14:paraId="4604FD8E" w14:textId="77777777" w:rsidR="00413B7C" w:rsidRPr="00CF721E" w:rsidRDefault="00413B7C" w:rsidP="00413B7C">
      <w:pPr>
        <w:autoSpaceDE w:val="0"/>
        <w:autoSpaceDN w:val="0"/>
        <w:adjustRightInd w:val="0"/>
        <w:spacing w:after="0" w:line="240" w:lineRule="auto"/>
        <w:jc w:val="both"/>
        <w:rPr>
          <w:rFonts w:ascii="Times New Roman" w:eastAsiaTheme="minorHAnsi" w:hAnsi="Times New Roman"/>
          <w:b/>
          <w:i/>
          <w:lang w:eastAsia="en-US"/>
        </w:rPr>
      </w:pPr>
      <w:r w:rsidRPr="00CF721E">
        <w:rPr>
          <w:rFonts w:ascii="Times New Roman" w:eastAsiaTheme="minorHAnsi" w:hAnsi="Times New Roman"/>
          <w:b/>
          <w:i/>
          <w:lang w:eastAsia="en-US"/>
        </w:rPr>
        <w:t xml:space="preserve">Pomoći dane u inozemstvo i unutar općeg proračuna </w:t>
      </w:r>
    </w:p>
    <w:p w14:paraId="36B41898" w14:textId="4AD1C5B4" w:rsidR="00855D3A" w:rsidRPr="00855D3A" w:rsidRDefault="00855D3A" w:rsidP="00855D3A">
      <w:pPr>
        <w:spacing w:line="240" w:lineRule="auto"/>
        <w:jc w:val="both"/>
        <w:rPr>
          <w:rFonts w:ascii="Times New Roman" w:hAnsi="Times New Roman"/>
        </w:rPr>
      </w:pPr>
      <w:r w:rsidRPr="00855D3A">
        <w:rPr>
          <w:rFonts w:ascii="Times New Roman" w:eastAsiaTheme="minorHAnsi" w:hAnsi="Times New Roman"/>
          <w:lang w:eastAsia="en-US"/>
        </w:rPr>
        <w:t xml:space="preserve">Pomoći dane u inozemstvo i unutar općeg proračuna realizirane su u iznosu od </w:t>
      </w:r>
      <w:r w:rsidRPr="00855D3A">
        <w:rPr>
          <w:rFonts w:ascii="Times New Roman" w:hAnsi="Times New Roman"/>
        </w:rPr>
        <w:t xml:space="preserve">231.238,88 EUR što, u odnosu na prethodnu godinu predstavlja povećanje za </w:t>
      </w:r>
      <w:r>
        <w:rPr>
          <w:rFonts w:ascii="Times New Roman" w:hAnsi="Times New Roman"/>
        </w:rPr>
        <w:t>3,78</w:t>
      </w:r>
      <w:r w:rsidRPr="00855D3A">
        <w:rPr>
          <w:rFonts w:ascii="Times New Roman" w:hAnsi="Times New Roman"/>
        </w:rPr>
        <w:t xml:space="preserve">  %. Navedeni se rashodi odnose prvenstveno na pomoći za sufinanciranje zakonskih obveza vatrogastva, te sufinanciranje rada dječjeg vrtića. Porast je prvenstveno evidentiran u dijelu rashoda koji se odnose na sufinanciranje dječjeg vrtića – povećanje redovitih troškova.</w:t>
      </w:r>
    </w:p>
    <w:p w14:paraId="660865A1" w14:textId="77777777" w:rsidR="00413B7C" w:rsidRPr="00CF721E" w:rsidRDefault="00413B7C" w:rsidP="00413B7C">
      <w:pPr>
        <w:autoSpaceDE w:val="0"/>
        <w:autoSpaceDN w:val="0"/>
        <w:adjustRightInd w:val="0"/>
        <w:spacing w:after="0" w:line="240" w:lineRule="auto"/>
        <w:jc w:val="both"/>
        <w:rPr>
          <w:rFonts w:ascii="Times New Roman" w:eastAsia="Wingdings-Regular" w:hAnsi="Times New Roman"/>
          <w:b/>
          <w:bCs/>
          <w:i/>
          <w:lang w:eastAsia="en-US"/>
        </w:rPr>
      </w:pPr>
      <w:r w:rsidRPr="00CF721E">
        <w:rPr>
          <w:rFonts w:ascii="Times New Roman" w:eastAsia="Wingdings-Regular" w:hAnsi="Times New Roman"/>
          <w:b/>
          <w:bCs/>
          <w:i/>
          <w:lang w:eastAsia="en-US"/>
        </w:rPr>
        <w:t>Naknade građanima i kućanstvima na temelju osiguranja i druge naknade</w:t>
      </w:r>
    </w:p>
    <w:p w14:paraId="6B2FADF3" w14:textId="200AB7C2" w:rsidR="00413B7C" w:rsidRPr="00CF721E" w:rsidRDefault="00413B7C" w:rsidP="00413B7C">
      <w:pPr>
        <w:autoSpaceDE w:val="0"/>
        <w:autoSpaceDN w:val="0"/>
        <w:adjustRightInd w:val="0"/>
        <w:spacing w:after="0" w:line="240" w:lineRule="auto"/>
        <w:jc w:val="both"/>
        <w:rPr>
          <w:rFonts w:ascii="Times New Roman" w:eastAsia="Wingdings-Regular" w:hAnsi="Times New Roman"/>
          <w:lang w:eastAsia="en-US"/>
        </w:rPr>
      </w:pPr>
      <w:r w:rsidRPr="00CF721E">
        <w:rPr>
          <w:rFonts w:ascii="Times New Roman" w:eastAsia="Wingdings-Regular" w:hAnsi="Times New Roman"/>
          <w:lang w:eastAsia="en-US"/>
        </w:rPr>
        <w:t xml:space="preserve">Naknade građanima i kućanstvima na temelju osiguranja i druge naknade realizirane su u periodu od 01. siječnja do </w:t>
      </w:r>
      <w:r w:rsidR="0045606D">
        <w:rPr>
          <w:rFonts w:ascii="Times New Roman" w:eastAsia="Wingdings-Regular" w:hAnsi="Times New Roman"/>
          <w:lang w:eastAsia="en-US"/>
        </w:rPr>
        <w:t>31. prosinca</w:t>
      </w:r>
      <w:r w:rsidRPr="00CF721E">
        <w:rPr>
          <w:rFonts w:ascii="Times New Roman" w:eastAsia="Wingdings-Regular" w:hAnsi="Times New Roman"/>
          <w:lang w:eastAsia="en-US"/>
        </w:rPr>
        <w:t xml:space="preserve"> 202</w:t>
      </w:r>
      <w:r>
        <w:rPr>
          <w:rFonts w:ascii="Times New Roman" w:eastAsia="Wingdings-Regular" w:hAnsi="Times New Roman"/>
          <w:lang w:eastAsia="en-US"/>
        </w:rPr>
        <w:t>5</w:t>
      </w:r>
      <w:r w:rsidRPr="00CF721E">
        <w:rPr>
          <w:rFonts w:ascii="Times New Roman" w:eastAsia="Wingdings-Regular" w:hAnsi="Times New Roman"/>
          <w:lang w:eastAsia="en-US"/>
        </w:rPr>
        <w:t xml:space="preserve">. godine u iznosu od </w:t>
      </w:r>
      <w:r w:rsidR="0045606D">
        <w:rPr>
          <w:rFonts w:ascii="Times New Roman" w:eastAsia="Wingdings-Regular" w:hAnsi="Times New Roman"/>
          <w:lang w:eastAsia="en-US"/>
        </w:rPr>
        <w:t>26.863,85</w:t>
      </w:r>
      <w:r>
        <w:rPr>
          <w:rFonts w:ascii="Times New Roman" w:eastAsia="Wingdings-Regular" w:hAnsi="Times New Roman"/>
          <w:lang w:eastAsia="en-US"/>
        </w:rPr>
        <w:t xml:space="preserve"> EUR</w:t>
      </w:r>
      <w:r w:rsidRPr="00CF721E">
        <w:rPr>
          <w:rFonts w:ascii="Times New Roman" w:eastAsia="Wingdings-Regular" w:hAnsi="Times New Roman"/>
          <w:lang w:eastAsia="en-US"/>
        </w:rPr>
        <w:t xml:space="preserve">. </w:t>
      </w:r>
    </w:p>
    <w:p w14:paraId="1F3122AA" w14:textId="77777777" w:rsidR="00413B7C" w:rsidRPr="00CF721E" w:rsidRDefault="00413B7C" w:rsidP="00413B7C">
      <w:pPr>
        <w:autoSpaceDE w:val="0"/>
        <w:autoSpaceDN w:val="0"/>
        <w:adjustRightInd w:val="0"/>
        <w:spacing w:after="0" w:line="240" w:lineRule="auto"/>
        <w:jc w:val="both"/>
        <w:rPr>
          <w:rFonts w:ascii="Times New Roman" w:eastAsia="Wingdings-Regular" w:hAnsi="Times New Roman"/>
          <w:lang w:eastAsia="en-US"/>
        </w:rPr>
      </w:pPr>
    </w:p>
    <w:p w14:paraId="3B0B9013" w14:textId="77777777" w:rsidR="00413B7C" w:rsidRPr="00CF721E" w:rsidRDefault="00413B7C" w:rsidP="00413B7C">
      <w:pPr>
        <w:autoSpaceDE w:val="0"/>
        <w:autoSpaceDN w:val="0"/>
        <w:adjustRightInd w:val="0"/>
        <w:spacing w:after="0" w:line="240" w:lineRule="auto"/>
        <w:jc w:val="both"/>
        <w:rPr>
          <w:rFonts w:ascii="Times New Roman" w:hAnsi="Times New Roman"/>
          <w:bCs/>
          <w:color w:val="000000"/>
        </w:rPr>
      </w:pPr>
      <w:r w:rsidRPr="00CF721E">
        <w:rPr>
          <w:rFonts w:ascii="Times New Roman" w:eastAsia="Wingdings-Regular" w:hAnsi="Times New Roman"/>
          <w:lang w:eastAsia="en-US"/>
        </w:rPr>
        <w:t xml:space="preserve">Naknade građanima i kućanstvima odnose se najvećim dijelom na naknade unutar Socijalnog programa Općine Oprtalj. </w:t>
      </w:r>
      <w:r w:rsidRPr="00CF721E">
        <w:rPr>
          <w:rFonts w:ascii="Times New Roman" w:hAnsi="Times New Roman"/>
        </w:rPr>
        <w:t>Oblici pomoći Socijalnog programa Općine Oprtalj su sljedeći:</w:t>
      </w:r>
    </w:p>
    <w:p w14:paraId="45A30B35" w14:textId="77777777" w:rsidR="00413B7C" w:rsidRPr="00CF721E" w:rsidRDefault="00413B7C" w:rsidP="00413B7C">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CF721E">
        <w:rPr>
          <w:rFonts w:ascii="Times New Roman" w:hAnsi="Times New Roman"/>
          <w:color w:val="000000"/>
        </w:rPr>
        <w:t>jednokratne novčane pomoći,</w:t>
      </w:r>
    </w:p>
    <w:p w14:paraId="1AF1D616" w14:textId="77777777" w:rsidR="00413B7C" w:rsidRPr="00CF721E" w:rsidRDefault="00413B7C" w:rsidP="00413B7C">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CF721E">
        <w:rPr>
          <w:rFonts w:ascii="Times New Roman" w:hAnsi="Times New Roman"/>
          <w:color w:val="000000"/>
        </w:rPr>
        <w:t>porodiljna naknada,</w:t>
      </w:r>
    </w:p>
    <w:p w14:paraId="4AAEB7B3" w14:textId="77777777" w:rsidR="00413B7C" w:rsidRPr="00CF721E" w:rsidRDefault="00413B7C" w:rsidP="00413B7C">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CF721E">
        <w:rPr>
          <w:rFonts w:ascii="Times New Roman" w:hAnsi="Times New Roman"/>
          <w:color w:val="000000"/>
        </w:rPr>
        <w:t>podmirenje troškova stanovanja,</w:t>
      </w:r>
    </w:p>
    <w:p w14:paraId="2BCA203A" w14:textId="77777777" w:rsidR="00413B7C" w:rsidRPr="00CF721E" w:rsidRDefault="00413B7C" w:rsidP="00413B7C">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CF721E">
        <w:rPr>
          <w:rFonts w:ascii="Times New Roman" w:hAnsi="Times New Roman"/>
          <w:color w:val="000000"/>
        </w:rPr>
        <w:t>pomoć udrugama socijalnog značaja</w:t>
      </w:r>
    </w:p>
    <w:p w14:paraId="04430E84" w14:textId="77777777" w:rsidR="00413B7C" w:rsidRPr="00CF721E" w:rsidRDefault="00413B7C" w:rsidP="00413B7C">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CF721E">
        <w:rPr>
          <w:rFonts w:ascii="Times New Roman" w:hAnsi="Times New Roman"/>
          <w:color w:val="000000"/>
        </w:rPr>
        <w:t>sufinanciranje hitne medicine i slično.</w:t>
      </w:r>
    </w:p>
    <w:p w14:paraId="563856C1" w14:textId="77777777" w:rsidR="0045606D" w:rsidRDefault="0045606D" w:rsidP="00413B7C">
      <w:pPr>
        <w:autoSpaceDE w:val="0"/>
        <w:autoSpaceDN w:val="0"/>
        <w:adjustRightInd w:val="0"/>
        <w:spacing w:after="0" w:line="240" w:lineRule="auto"/>
        <w:jc w:val="both"/>
        <w:rPr>
          <w:rFonts w:ascii="Times New Roman" w:eastAsia="Wingdings-Regular" w:hAnsi="Times New Roman"/>
          <w:lang w:eastAsia="en-US"/>
        </w:rPr>
      </w:pPr>
    </w:p>
    <w:p w14:paraId="4A651CAE" w14:textId="77777777" w:rsidR="0045606D" w:rsidRDefault="0045606D" w:rsidP="00413B7C">
      <w:pPr>
        <w:autoSpaceDE w:val="0"/>
        <w:autoSpaceDN w:val="0"/>
        <w:adjustRightInd w:val="0"/>
        <w:spacing w:after="0" w:line="240" w:lineRule="auto"/>
        <w:jc w:val="both"/>
        <w:rPr>
          <w:rFonts w:ascii="Times New Roman" w:eastAsia="Wingdings-Regular" w:hAnsi="Times New Roman"/>
          <w:lang w:eastAsia="en-US"/>
        </w:rPr>
      </w:pPr>
    </w:p>
    <w:p w14:paraId="240A0EA3" w14:textId="17D44BDE" w:rsidR="0045606D" w:rsidRPr="0045606D" w:rsidRDefault="0045606D" w:rsidP="0045606D">
      <w:pPr>
        <w:autoSpaceDE w:val="0"/>
        <w:autoSpaceDN w:val="0"/>
        <w:adjustRightInd w:val="0"/>
        <w:spacing w:after="0" w:line="240" w:lineRule="auto"/>
        <w:jc w:val="both"/>
        <w:rPr>
          <w:rFonts w:ascii="Times New Roman" w:hAnsi="Times New Roman"/>
        </w:rPr>
      </w:pPr>
      <w:r>
        <w:rPr>
          <w:rFonts w:ascii="Times New Roman" w:hAnsi="Times New Roman"/>
        </w:rPr>
        <w:lastRenderedPageBreak/>
        <w:t>Navedeni rashodi</w:t>
      </w:r>
      <w:r w:rsidRPr="0045606D">
        <w:rPr>
          <w:rFonts w:ascii="Times New Roman" w:hAnsi="Times New Roman"/>
        </w:rPr>
        <w:t xml:space="preserve"> bilježe porast za </w:t>
      </w:r>
      <w:r>
        <w:rPr>
          <w:rFonts w:ascii="Times New Roman" w:hAnsi="Times New Roman"/>
        </w:rPr>
        <w:t>21,46</w:t>
      </w:r>
      <w:r w:rsidRPr="0045606D">
        <w:rPr>
          <w:rFonts w:ascii="Times New Roman" w:hAnsi="Times New Roman"/>
        </w:rPr>
        <w:t xml:space="preserve"> % u odnosu na prethodno izvještajno razdoblje. U najvećim dijelom navedene se naknade odnose na naknade koje se isplaćuju korisnicima socijalnog programa sukladno Odluci o socijalnoj skrbi Općine Oprtalj. Ostale naknade odnose se na isplatu stipendija, zatim na isplatu novčanih pomoći za novorođenu djecu u okviru populacijske politike Općine Oprtalj. </w:t>
      </w:r>
    </w:p>
    <w:p w14:paraId="0608D4BF" w14:textId="77777777" w:rsidR="0045606D" w:rsidRDefault="0045606D" w:rsidP="0045606D">
      <w:pPr>
        <w:spacing w:after="0" w:line="240" w:lineRule="auto"/>
        <w:jc w:val="both"/>
        <w:rPr>
          <w:rFonts w:ascii="Times New Roman" w:hAnsi="Times New Roman"/>
        </w:rPr>
      </w:pPr>
    </w:p>
    <w:p w14:paraId="30E04B5F" w14:textId="149B92AD" w:rsidR="0045606D" w:rsidRPr="0045606D" w:rsidRDefault="0045606D" w:rsidP="0045606D">
      <w:pPr>
        <w:spacing w:after="0" w:line="240" w:lineRule="auto"/>
        <w:jc w:val="both"/>
        <w:rPr>
          <w:rFonts w:ascii="Times New Roman" w:hAnsi="Times New Roman"/>
        </w:rPr>
      </w:pPr>
      <w:r w:rsidRPr="0045606D">
        <w:rPr>
          <w:rFonts w:ascii="Times New Roman" w:hAnsi="Times New Roman"/>
        </w:rPr>
        <w:t xml:space="preserve">Najznačajnije povećanje bilježi </w:t>
      </w:r>
      <w:r>
        <w:rPr>
          <w:rFonts w:ascii="Times New Roman" w:hAnsi="Times New Roman"/>
        </w:rPr>
        <w:t>konto</w:t>
      </w:r>
      <w:r w:rsidRPr="0045606D">
        <w:rPr>
          <w:rFonts w:ascii="Times New Roman" w:hAnsi="Times New Roman"/>
        </w:rPr>
        <w:t xml:space="preserve"> 3722 Naknade građanima i kućanstvima u naravi, i to za 56,</w:t>
      </w:r>
      <w:r>
        <w:rPr>
          <w:rFonts w:ascii="Times New Roman" w:hAnsi="Times New Roman"/>
        </w:rPr>
        <w:t>15</w:t>
      </w:r>
      <w:r w:rsidRPr="0045606D">
        <w:rPr>
          <w:rFonts w:ascii="Times New Roman" w:hAnsi="Times New Roman"/>
        </w:rPr>
        <w:t xml:space="preserve"> %. Navedeno se odnosi na nabavu višenamjenskog prehrambenog bona za umirovljenike na području općine, te dodjelu poklon bona učenicima osnovne škole za nabavu školskog pribora.</w:t>
      </w:r>
    </w:p>
    <w:p w14:paraId="13D77E42" w14:textId="77777777" w:rsidR="00413B7C" w:rsidRPr="00CF721E" w:rsidRDefault="00413B7C" w:rsidP="0045606D">
      <w:pPr>
        <w:autoSpaceDE w:val="0"/>
        <w:autoSpaceDN w:val="0"/>
        <w:adjustRightInd w:val="0"/>
        <w:spacing w:after="0" w:line="240" w:lineRule="auto"/>
        <w:jc w:val="both"/>
        <w:rPr>
          <w:rFonts w:ascii="Times New Roman" w:eastAsia="Wingdings-Regular" w:hAnsi="Times New Roman"/>
          <w:lang w:eastAsia="en-US"/>
        </w:rPr>
      </w:pPr>
    </w:p>
    <w:p w14:paraId="4D135D4D" w14:textId="77777777" w:rsidR="00413B7C" w:rsidRPr="00653295" w:rsidRDefault="00413B7C" w:rsidP="0045606D">
      <w:pPr>
        <w:autoSpaceDE w:val="0"/>
        <w:autoSpaceDN w:val="0"/>
        <w:adjustRightInd w:val="0"/>
        <w:spacing w:after="0" w:line="240" w:lineRule="auto"/>
        <w:jc w:val="both"/>
        <w:rPr>
          <w:rFonts w:ascii="Times New Roman" w:eastAsia="Wingdings-Regular" w:hAnsi="Times New Roman"/>
          <w:b/>
          <w:bCs/>
          <w:i/>
          <w:lang w:eastAsia="en-US"/>
        </w:rPr>
      </w:pPr>
      <w:r w:rsidRPr="00653295">
        <w:rPr>
          <w:rFonts w:ascii="Times New Roman" w:eastAsia="Wingdings-Regular" w:hAnsi="Times New Roman"/>
          <w:b/>
          <w:bCs/>
          <w:i/>
          <w:lang w:eastAsia="en-US"/>
        </w:rPr>
        <w:t>Rashodi za donacije, kazne, naknade šteta i kapitalne pomoći</w:t>
      </w:r>
    </w:p>
    <w:p w14:paraId="24F151BC" w14:textId="77777777" w:rsidR="00653295" w:rsidRPr="00653295" w:rsidRDefault="00413B7C" w:rsidP="00653295">
      <w:pPr>
        <w:spacing w:line="240" w:lineRule="auto"/>
        <w:jc w:val="both"/>
        <w:rPr>
          <w:rFonts w:ascii="Times New Roman" w:hAnsi="Times New Roman"/>
        </w:rPr>
      </w:pPr>
      <w:r w:rsidRPr="00653295">
        <w:rPr>
          <w:rFonts w:ascii="Times New Roman" w:eastAsia="Wingdings-Regular" w:hAnsi="Times New Roman"/>
          <w:iCs/>
          <w:lang w:eastAsia="en-US"/>
        </w:rPr>
        <w:t>Rashodi za donacije, kazne, naknade šteta i kapitalne pomoći</w:t>
      </w:r>
      <w:r w:rsidRPr="00653295">
        <w:rPr>
          <w:rFonts w:ascii="Times New Roman" w:eastAsia="Wingdings-Regular" w:hAnsi="Times New Roman"/>
          <w:b/>
          <w:bCs/>
          <w:i/>
          <w:lang w:eastAsia="en-US"/>
        </w:rPr>
        <w:t xml:space="preserve"> </w:t>
      </w:r>
      <w:r w:rsidRPr="00653295">
        <w:rPr>
          <w:rFonts w:ascii="Times New Roman" w:eastAsia="Wingdings-Regular" w:hAnsi="Times New Roman"/>
          <w:lang w:eastAsia="en-US"/>
        </w:rPr>
        <w:t xml:space="preserve">obuhvaćaju tekuće i kapitalne donacije. </w:t>
      </w:r>
      <w:r w:rsidR="00653295" w:rsidRPr="00653295">
        <w:rPr>
          <w:rFonts w:ascii="Times New Roman" w:hAnsi="Times New Roman"/>
        </w:rPr>
        <w:t xml:space="preserve">ostvareni su u iznosu od 133.601,00 EUR, te bilježe povećanje za više od tri puta u odnosu na prethodno izvještajno razdoblje Navedeno se povećanje prvenstveno odnosi na kapitalne donacije neprofitnim organizacijama, vezane za sufinanciranje nabave kombi vozila Dobrovoljnom vatrogasnom društvu Oprtalj, te sufinanciranje nabave opreme za sustav civilne zaštite. </w:t>
      </w:r>
    </w:p>
    <w:p w14:paraId="58D9510B" w14:textId="77777777" w:rsidR="00653295" w:rsidRPr="00653295" w:rsidRDefault="00653295" w:rsidP="00653295">
      <w:pPr>
        <w:spacing w:line="240" w:lineRule="auto"/>
        <w:jc w:val="both"/>
        <w:rPr>
          <w:rFonts w:ascii="Times New Roman" w:hAnsi="Times New Roman"/>
        </w:rPr>
      </w:pPr>
      <w:r w:rsidRPr="00653295">
        <w:rPr>
          <w:rFonts w:ascii="Times New Roman" w:hAnsi="Times New Roman"/>
        </w:rPr>
        <w:t>Tekuće donacije u novcu također bilježe povećanje za skoro dva puta u odnosu na isto razdoblje prethodne godine, zbog primjene novog načina knjiženja donacija sukladno izmjenama i dopunama Pravilnika o proračunskom računovodstvu i računskom planu. Najveći trošak odnosi se na donacije Područnoj vatrogasnoj zajednici, nogometnim klubovima i Turističkoj zajednice općine Oprtalj.</w:t>
      </w:r>
    </w:p>
    <w:p w14:paraId="68940E88" w14:textId="4BBCCC2A" w:rsidR="00413B7C" w:rsidRPr="00653295" w:rsidRDefault="00413B7C" w:rsidP="00653295">
      <w:pPr>
        <w:autoSpaceDE w:val="0"/>
        <w:autoSpaceDN w:val="0"/>
        <w:adjustRightInd w:val="0"/>
        <w:spacing w:after="0" w:line="240" w:lineRule="auto"/>
        <w:jc w:val="both"/>
        <w:rPr>
          <w:rFonts w:ascii="Times New Roman" w:eastAsiaTheme="minorHAnsi" w:hAnsi="Times New Roman"/>
          <w:b/>
          <w:bCs/>
          <w:lang w:eastAsia="en-US"/>
        </w:rPr>
      </w:pPr>
    </w:p>
    <w:p w14:paraId="790C3877" w14:textId="0E94574F" w:rsidR="00413B7C" w:rsidRDefault="00413B7C" w:rsidP="00413B7C">
      <w:pPr>
        <w:spacing w:after="0" w:line="240" w:lineRule="auto"/>
        <w:ind w:right="70"/>
        <w:jc w:val="both"/>
        <w:rPr>
          <w:rFonts w:ascii="Times New Roman" w:hAnsi="Times New Roman"/>
          <w:bCs/>
          <w:i/>
        </w:rPr>
      </w:pPr>
      <w:r>
        <w:rPr>
          <w:rFonts w:ascii="Times New Roman" w:hAnsi="Times New Roman"/>
          <w:b/>
          <w:i/>
        </w:rPr>
        <w:t>Tablica</w:t>
      </w:r>
      <w:r w:rsidRPr="009D61E7">
        <w:rPr>
          <w:rFonts w:ascii="Times New Roman" w:hAnsi="Times New Roman"/>
          <w:b/>
          <w:i/>
        </w:rPr>
        <w:t xml:space="preserve"> broj</w:t>
      </w:r>
      <w:r>
        <w:rPr>
          <w:rFonts w:ascii="Times New Roman" w:hAnsi="Times New Roman"/>
          <w:b/>
          <w:i/>
        </w:rPr>
        <w:t xml:space="preserve"> 3</w:t>
      </w:r>
      <w:r w:rsidRPr="009D61E7">
        <w:rPr>
          <w:rFonts w:ascii="Times New Roman" w:hAnsi="Times New Roman"/>
          <w:b/>
          <w:i/>
        </w:rPr>
        <w:t>.:</w:t>
      </w:r>
      <w:r w:rsidRPr="009D61E7">
        <w:rPr>
          <w:rFonts w:ascii="Times New Roman" w:hAnsi="Times New Roman"/>
          <w:i/>
        </w:rPr>
        <w:t xml:space="preserve"> U</w:t>
      </w:r>
      <w:r w:rsidRPr="009D61E7">
        <w:rPr>
          <w:rFonts w:ascii="Times New Roman" w:hAnsi="Times New Roman"/>
          <w:bCs/>
          <w:i/>
        </w:rPr>
        <w:t xml:space="preserve">sporedni prikaz </w:t>
      </w:r>
      <w:r w:rsidRPr="00777BC8">
        <w:rPr>
          <w:rFonts w:ascii="Times New Roman" w:hAnsi="Times New Roman"/>
          <w:bCs/>
          <w:i/>
        </w:rPr>
        <w:t xml:space="preserve">realizacije </w:t>
      </w:r>
      <w:r w:rsidRPr="00777BC8">
        <w:rPr>
          <w:rFonts w:ascii="Times New Roman" w:eastAsia="Wingdings-Regular" w:hAnsi="Times New Roman"/>
          <w:i/>
          <w:lang w:eastAsia="en-US"/>
        </w:rPr>
        <w:t>rashoda za donacije, kazne, naknade šteta i kapitalne pomoći</w:t>
      </w:r>
      <w:r w:rsidRPr="00777BC8">
        <w:rPr>
          <w:rFonts w:ascii="Times New Roman" w:eastAsia="Wingdings-Regular" w:hAnsi="Times New Roman"/>
          <w:b/>
          <w:bCs/>
          <w:i/>
          <w:lang w:eastAsia="en-US"/>
        </w:rPr>
        <w:t xml:space="preserve"> </w:t>
      </w:r>
      <w:r w:rsidRPr="00777BC8">
        <w:rPr>
          <w:rFonts w:ascii="Times New Roman" w:hAnsi="Times New Roman"/>
          <w:bCs/>
          <w:i/>
        </w:rPr>
        <w:t xml:space="preserve">u razdoblju </w:t>
      </w:r>
      <w:r w:rsidRPr="00777BC8">
        <w:rPr>
          <w:rFonts w:ascii="Times New Roman" w:hAnsi="Times New Roman"/>
          <w:i/>
        </w:rPr>
        <w:t xml:space="preserve"> </w:t>
      </w:r>
      <w:r w:rsidRPr="00777BC8">
        <w:rPr>
          <w:rFonts w:ascii="Times New Roman" w:hAnsi="Times New Roman"/>
          <w:bCs/>
          <w:i/>
        </w:rPr>
        <w:t xml:space="preserve">od 01. siječnja do </w:t>
      </w:r>
      <w:r w:rsidR="00653295">
        <w:rPr>
          <w:rFonts w:ascii="Times New Roman" w:hAnsi="Times New Roman"/>
          <w:bCs/>
          <w:i/>
        </w:rPr>
        <w:t>31. prosinca</w:t>
      </w:r>
      <w:r w:rsidRPr="009D61E7">
        <w:rPr>
          <w:rFonts w:ascii="Times New Roman" w:hAnsi="Times New Roman"/>
          <w:bCs/>
          <w:i/>
        </w:rPr>
        <w:t xml:space="preserve"> 202</w:t>
      </w:r>
      <w:r>
        <w:rPr>
          <w:rFonts w:ascii="Times New Roman" w:hAnsi="Times New Roman"/>
          <w:bCs/>
          <w:i/>
        </w:rPr>
        <w:t>5</w:t>
      </w:r>
      <w:r w:rsidRPr="009D61E7">
        <w:rPr>
          <w:rFonts w:ascii="Times New Roman" w:hAnsi="Times New Roman"/>
          <w:bCs/>
          <w:i/>
        </w:rPr>
        <w:t>. godine u odnosu na prethodnu 202</w:t>
      </w:r>
      <w:r>
        <w:rPr>
          <w:rFonts w:ascii="Times New Roman" w:hAnsi="Times New Roman"/>
          <w:bCs/>
          <w:i/>
        </w:rPr>
        <w:t>4</w:t>
      </w:r>
      <w:r w:rsidRPr="009D61E7">
        <w:rPr>
          <w:rFonts w:ascii="Times New Roman" w:hAnsi="Times New Roman"/>
          <w:bCs/>
          <w:i/>
        </w:rPr>
        <w:t xml:space="preserve">. godinu    </w:t>
      </w:r>
    </w:p>
    <w:p w14:paraId="64DF2171" w14:textId="77777777" w:rsidR="00413B7C" w:rsidRDefault="00413B7C" w:rsidP="00413B7C">
      <w:pPr>
        <w:autoSpaceDE w:val="0"/>
        <w:autoSpaceDN w:val="0"/>
        <w:adjustRightInd w:val="0"/>
        <w:spacing w:after="0" w:line="240" w:lineRule="auto"/>
        <w:jc w:val="both"/>
        <w:rPr>
          <w:rFonts w:ascii="Times New Roman" w:eastAsiaTheme="minorHAnsi" w:hAnsi="Times New Roman"/>
          <w:b/>
          <w:bCs/>
          <w:sz w:val="24"/>
          <w:szCs w:val="24"/>
          <w:lang w:eastAsia="en-US"/>
        </w:rPr>
      </w:pPr>
    </w:p>
    <w:tbl>
      <w:tblPr>
        <w:tblW w:w="9260" w:type="dxa"/>
        <w:tblLook w:val="04A0" w:firstRow="1" w:lastRow="0" w:firstColumn="1" w:lastColumn="0" w:noHBand="0" w:noVBand="1"/>
      </w:tblPr>
      <w:tblGrid>
        <w:gridCol w:w="846"/>
        <w:gridCol w:w="4111"/>
        <w:gridCol w:w="2126"/>
        <w:gridCol w:w="2177"/>
      </w:tblGrid>
      <w:tr w:rsidR="00413B7C" w:rsidRPr="006C2629" w14:paraId="7C826EF9" w14:textId="77777777" w:rsidTr="007D3E89">
        <w:trPr>
          <w:trHeight w:val="945"/>
        </w:trPr>
        <w:tc>
          <w:tcPr>
            <w:tcW w:w="846"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14:paraId="5F12E1C3" w14:textId="77777777" w:rsidR="00413B7C" w:rsidRPr="006C2629" w:rsidRDefault="00413B7C" w:rsidP="007D3E89">
            <w:pPr>
              <w:spacing w:after="0" w:line="240" w:lineRule="auto"/>
              <w:jc w:val="center"/>
              <w:rPr>
                <w:rFonts w:ascii="Times New Roman" w:hAnsi="Times New Roman"/>
                <w:b/>
                <w:bCs/>
                <w:color w:val="000000"/>
                <w:sz w:val="20"/>
                <w:szCs w:val="20"/>
              </w:rPr>
            </w:pPr>
            <w:r w:rsidRPr="006C2629">
              <w:rPr>
                <w:rFonts w:ascii="Times New Roman" w:hAnsi="Times New Roman"/>
                <w:b/>
                <w:bCs/>
                <w:color w:val="000000"/>
                <w:sz w:val="20"/>
                <w:szCs w:val="20"/>
              </w:rPr>
              <w:t>Račun</w:t>
            </w:r>
          </w:p>
        </w:tc>
        <w:tc>
          <w:tcPr>
            <w:tcW w:w="4111" w:type="dxa"/>
            <w:tcBorders>
              <w:top w:val="single" w:sz="4" w:space="0" w:color="000000"/>
              <w:left w:val="nil"/>
              <w:bottom w:val="single" w:sz="4" w:space="0" w:color="000000"/>
              <w:right w:val="single" w:sz="4" w:space="0" w:color="000000"/>
            </w:tcBorders>
            <w:shd w:val="clear" w:color="000000" w:fill="C0C0C0"/>
            <w:noWrap/>
            <w:vAlign w:val="center"/>
            <w:hideMark/>
          </w:tcPr>
          <w:p w14:paraId="726BDD63" w14:textId="77777777" w:rsidR="00413B7C" w:rsidRPr="006C2629" w:rsidRDefault="00413B7C" w:rsidP="007D3E89">
            <w:pPr>
              <w:spacing w:after="0" w:line="240" w:lineRule="auto"/>
              <w:jc w:val="center"/>
              <w:rPr>
                <w:rFonts w:ascii="Times New Roman" w:hAnsi="Times New Roman"/>
                <w:b/>
                <w:bCs/>
                <w:color w:val="000000"/>
                <w:sz w:val="20"/>
                <w:szCs w:val="20"/>
              </w:rPr>
            </w:pPr>
            <w:r w:rsidRPr="006C2629">
              <w:rPr>
                <w:rFonts w:ascii="Times New Roman" w:hAnsi="Times New Roman"/>
                <w:b/>
                <w:bCs/>
                <w:color w:val="000000"/>
                <w:sz w:val="20"/>
                <w:szCs w:val="20"/>
              </w:rPr>
              <w:t>Naziv računa</w:t>
            </w:r>
          </w:p>
        </w:tc>
        <w:tc>
          <w:tcPr>
            <w:tcW w:w="2126" w:type="dxa"/>
            <w:tcBorders>
              <w:top w:val="single" w:sz="4" w:space="0" w:color="000000"/>
              <w:left w:val="nil"/>
              <w:bottom w:val="single" w:sz="4" w:space="0" w:color="000000"/>
              <w:right w:val="single" w:sz="4" w:space="0" w:color="000000"/>
            </w:tcBorders>
            <w:shd w:val="clear" w:color="000000" w:fill="C0C0C0"/>
            <w:vAlign w:val="center"/>
            <w:hideMark/>
          </w:tcPr>
          <w:p w14:paraId="2F192038" w14:textId="142E2AE4" w:rsidR="00413B7C" w:rsidRPr="006C2629" w:rsidRDefault="00413B7C" w:rsidP="00653295">
            <w:pPr>
              <w:spacing w:after="0" w:line="240" w:lineRule="auto"/>
              <w:jc w:val="center"/>
              <w:rPr>
                <w:rFonts w:ascii="Times New Roman" w:hAnsi="Times New Roman"/>
                <w:b/>
                <w:bCs/>
                <w:color w:val="000000"/>
                <w:sz w:val="20"/>
                <w:szCs w:val="20"/>
              </w:rPr>
            </w:pPr>
            <w:r w:rsidRPr="006C2629">
              <w:rPr>
                <w:rFonts w:ascii="Times New Roman" w:hAnsi="Times New Roman"/>
                <w:b/>
                <w:bCs/>
                <w:color w:val="000000"/>
                <w:sz w:val="20"/>
                <w:szCs w:val="20"/>
              </w:rPr>
              <w:t>Izvršenje</w:t>
            </w:r>
            <w:r w:rsidRPr="006C2629">
              <w:rPr>
                <w:rFonts w:ascii="Times New Roman" w:hAnsi="Times New Roman"/>
                <w:b/>
                <w:bCs/>
                <w:color w:val="000000"/>
                <w:sz w:val="20"/>
                <w:szCs w:val="20"/>
              </w:rPr>
              <w:br/>
              <w:t>1.1.2024.-</w:t>
            </w:r>
            <w:r w:rsidR="00653295">
              <w:rPr>
                <w:rFonts w:ascii="Times New Roman" w:hAnsi="Times New Roman"/>
                <w:b/>
                <w:bCs/>
                <w:color w:val="000000"/>
                <w:sz w:val="20"/>
                <w:szCs w:val="20"/>
              </w:rPr>
              <w:t>31.12</w:t>
            </w:r>
            <w:r w:rsidRPr="006C2629">
              <w:rPr>
                <w:rFonts w:ascii="Times New Roman" w:hAnsi="Times New Roman"/>
                <w:b/>
                <w:bCs/>
                <w:color w:val="000000"/>
                <w:sz w:val="20"/>
                <w:szCs w:val="20"/>
              </w:rPr>
              <w:t>.2024.</w:t>
            </w:r>
          </w:p>
        </w:tc>
        <w:tc>
          <w:tcPr>
            <w:tcW w:w="2177" w:type="dxa"/>
            <w:tcBorders>
              <w:top w:val="single" w:sz="4" w:space="0" w:color="000000"/>
              <w:left w:val="nil"/>
              <w:bottom w:val="single" w:sz="4" w:space="0" w:color="000000"/>
              <w:right w:val="single" w:sz="4" w:space="0" w:color="000000"/>
            </w:tcBorders>
            <w:shd w:val="clear" w:color="000000" w:fill="C0C0C0"/>
            <w:vAlign w:val="center"/>
            <w:hideMark/>
          </w:tcPr>
          <w:p w14:paraId="71F5C48E" w14:textId="235EDEFF" w:rsidR="00413B7C" w:rsidRPr="006C2629" w:rsidRDefault="00413B7C" w:rsidP="00653295">
            <w:pPr>
              <w:spacing w:after="0" w:line="240" w:lineRule="auto"/>
              <w:jc w:val="center"/>
              <w:rPr>
                <w:rFonts w:ascii="Times New Roman" w:hAnsi="Times New Roman"/>
                <w:b/>
                <w:bCs/>
                <w:color w:val="000000"/>
                <w:sz w:val="20"/>
                <w:szCs w:val="20"/>
              </w:rPr>
            </w:pPr>
            <w:r w:rsidRPr="006C2629">
              <w:rPr>
                <w:rFonts w:ascii="Times New Roman" w:hAnsi="Times New Roman"/>
                <w:b/>
                <w:bCs/>
                <w:color w:val="000000"/>
                <w:sz w:val="20"/>
                <w:szCs w:val="20"/>
              </w:rPr>
              <w:t>Izvršenje</w:t>
            </w:r>
            <w:r w:rsidRPr="006C2629">
              <w:rPr>
                <w:rFonts w:ascii="Times New Roman" w:hAnsi="Times New Roman"/>
                <w:b/>
                <w:bCs/>
                <w:color w:val="000000"/>
                <w:sz w:val="20"/>
                <w:szCs w:val="20"/>
              </w:rPr>
              <w:br/>
              <w:t>1.1.2025.-</w:t>
            </w:r>
            <w:r w:rsidR="00653295">
              <w:rPr>
                <w:rFonts w:ascii="Times New Roman" w:hAnsi="Times New Roman"/>
                <w:b/>
                <w:bCs/>
                <w:color w:val="000000"/>
                <w:sz w:val="20"/>
                <w:szCs w:val="20"/>
              </w:rPr>
              <w:t>31.12</w:t>
            </w:r>
            <w:r w:rsidRPr="006C2629">
              <w:rPr>
                <w:rFonts w:ascii="Times New Roman" w:hAnsi="Times New Roman"/>
                <w:b/>
                <w:bCs/>
                <w:color w:val="000000"/>
                <w:sz w:val="20"/>
                <w:szCs w:val="20"/>
              </w:rPr>
              <w:t>.2025.</w:t>
            </w:r>
          </w:p>
        </w:tc>
      </w:tr>
      <w:tr w:rsidR="00413B7C" w:rsidRPr="006C2629" w14:paraId="095A8638" w14:textId="77777777" w:rsidTr="00653295">
        <w:trPr>
          <w:trHeight w:val="315"/>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32E83C2C" w14:textId="77777777" w:rsidR="00413B7C" w:rsidRPr="006C2629" w:rsidRDefault="00413B7C" w:rsidP="007D3E89">
            <w:pPr>
              <w:spacing w:after="0" w:line="240" w:lineRule="auto"/>
              <w:jc w:val="right"/>
              <w:rPr>
                <w:rFonts w:ascii="Times New Roman" w:hAnsi="Times New Roman"/>
                <w:b/>
                <w:bCs/>
                <w:color w:val="000000"/>
                <w:sz w:val="20"/>
                <w:szCs w:val="20"/>
              </w:rPr>
            </w:pPr>
            <w:r w:rsidRPr="006C2629">
              <w:rPr>
                <w:rFonts w:ascii="Times New Roman" w:hAnsi="Times New Roman"/>
                <w:b/>
                <w:bCs/>
                <w:color w:val="000000"/>
                <w:sz w:val="20"/>
                <w:szCs w:val="20"/>
              </w:rPr>
              <w:t>38</w:t>
            </w:r>
          </w:p>
        </w:tc>
        <w:tc>
          <w:tcPr>
            <w:tcW w:w="4111" w:type="dxa"/>
            <w:tcBorders>
              <w:top w:val="nil"/>
              <w:left w:val="nil"/>
              <w:bottom w:val="single" w:sz="4" w:space="0" w:color="000000"/>
              <w:right w:val="single" w:sz="4" w:space="0" w:color="000000"/>
            </w:tcBorders>
            <w:shd w:val="clear" w:color="000000" w:fill="FFFFFF"/>
            <w:noWrap/>
            <w:vAlign w:val="center"/>
            <w:hideMark/>
          </w:tcPr>
          <w:p w14:paraId="12592540" w14:textId="77777777" w:rsidR="00413B7C" w:rsidRPr="006C2629" w:rsidRDefault="00413B7C" w:rsidP="007D3E89">
            <w:pPr>
              <w:spacing w:after="0" w:line="240" w:lineRule="auto"/>
              <w:rPr>
                <w:rFonts w:ascii="Times New Roman" w:hAnsi="Times New Roman"/>
                <w:b/>
                <w:bCs/>
                <w:color w:val="000000"/>
                <w:sz w:val="20"/>
                <w:szCs w:val="20"/>
              </w:rPr>
            </w:pPr>
            <w:r w:rsidRPr="006C2629">
              <w:rPr>
                <w:rFonts w:ascii="Times New Roman" w:hAnsi="Times New Roman"/>
                <w:b/>
                <w:bCs/>
                <w:color w:val="000000"/>
                <w:sz w:val="20"/>
                <w:szCs w:val="20"/>
              </w:rPr>
              <w:t>Rashodi za donacije, kazne, naknade šteta i kapitalne pomoći</w:t>
            </w:r>
          </w:p>
        </w:tc>
        <w:tc>
          <w:tcPr>
            <w:tcW w:w="2126" w:type="dxa"/>
            <w:tcBorders>
              <w:top w:val="nil"/>
              <w:left w:val="nil"/>
              <w:bottom w:val="single" w:sz="4" w:space="0" w:color="000000"/>
              <w:right w:val="single" w:sz="4" w:space="0" w:color="000000"/>
            </w:tcBorders>
            <w:shd w:val="clear" w:color="000000" w:fill="FFFFFF"/>
            <w:noWrap/>
            <w:vAlign w:val="center"/>
          </w:tcPr>
          <w:p w14:paraId="00F6C3BF" w14:textId="6B475A26" w:rsidR="00413B7C" w:rsidRPr="006C2629" w:rsidRDefault="00653295"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41.947,38</w:t>
            </w:r>
          </w:p>
        </w:tc>
        <w:tc>
          <w:tcPr>
            <w:tcW w:w="2177" w:type="dxa"/>
            <w:tcBorders>
              <w:top w:val="nil"/>
              <w:left w:val="nil"/>
              <w:bottom w:val="single" w:sz="4" w:space="0" w:color="000000"/>
              <w:right w:val="single" w:sz="4" w:space="0" w:color="000000"/>
            </w:tcBorders>
            <w:shd w:val="clear" w:color="000000" w:fill="FFFFFF"/>
            <w:noWrap/>
            <w:vAlign w:val="center"/>
          </w:tcPr>
          <w:p w14:paraId="15C03268" w14:textId="77ED9F1B" w:rsidR="00413B7C" w:rsidRPr="006C2629" w:rsidRDefault="005A45A6" w:rsidP="007D3E89">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133.601,00</w:t>
            </w:r>
          </w:p>
        </w:tc>
      </w:tr>
      <w:tr w:rsidR="00413B7C" w:rsidRPr="006C2629" w14:paraId="493D9886" w14:textId="77777777" w:rsidTr="00653295">
        <w:trPr>
          <w:trHeight w:val="300"/>
        </w:trPr>
        <w:tc>
          <w:tcPr>
            <w:tcW w:w="846" w:type="dxa"/>
            <w:tcBorders>
              <w:top w:val="nil"/>
              <w:left w:val="single" w:sz="4" w:space="0" w:color="000000"/>
              <w:bottom w:val="single" w:sz="4" w:space="0" w:color="000000"/>
              <w:right w:val="single" w:sz="4" w:space="0" w:color="000000"/>
            </w:tcBorders>
            <w:shd w:val="clear" w:color="000000" w:fill="FFFFFF"/>
            <w:noWrap/>
            <w:hideMark/>
          </w:tcPr>
          <w:p w14:paraId="70DBC76E" w14:textId="77777777" w:rsidR="00413B7C" w:rsidRPr="006C2629" w:rsidRDefault="00413B7C" w:rsidP="007D3E89">
            <w:pPr>
              <w:spacing w:after="0" w:line="240" w:lineRule="auto"/>
              <w:jc w:val="right"/>
              <w:rPr>
                <w:rFonts w:ascii="Times New Roman" w:hAnsi="Times New Roman"/>
                <w:color w:val="000000"/>
                <w:sz w:val="20"/>
                <w:szCs w:val="20"/>
              </w:rPr>
            </w:pPr>
            <w:r w:rsidRPr="006C2629">
              <w:rPr>
                <w:rFonts w:ascii="Times New Roman" w:hAnsi="Times New Roman"/>
                <w:color w:val="000000"/>
                <w:sz w:val="20"/>
                <w:szCs w:val="20"/>
              </w:rPr>
              <w:t>3811</w:t>
            </w:r>
          </w:p>
        </w:tc>
        <w:tc>
          <w:tcPr>
            <w:tcW w:w="4111" w:type="dxa"/>
            <w:tcBorders>
              <w:top w:val="nil"/>
              <w:left w:val="nil"/>
              <w:bottom w:val="single" w:sz="4" w:space="0" w:color="000000"/>
              <w:right w:val="single" w:sz="4" w:space="0" w:color="000000"/>
            </w:tcBorders>
            <w:shd w:val="clear" w:color="000000" w:fill="FFFFFF"/>
            <w:noWrap/>
            <w:hideMark/>
          </w:tcPr>
          <w:p w14:paraId="3A7EA82E" w14:textId="77777777" w:rsidR="00413B7C" w:rsidRPr="006C2629" w:rsidRDefault="00413B7C" w:rsidP="007D3E89">
            <w:pPr>
              <w:spacing w:after="0" w:line="240" w:lineRule="auto"/>
              <w:rPr>
                <w:rFonts w:ascii="Times New Roman" w:hAnsi="Times New Roman"/>
                <w:color w:val="000000"/>
                <w:sz w:val="20"/>
                <w:szCs w:val="20"/>
              </w:rPr>
            </w:pPr>
            <w:r w:rsidRPr="006C2629">
              <w:rPr>
                <w:rFonts w:ascii="Times New Roman" w:hAnsi="Times New Roman"/>
                <w:color w:val="000000"/>
                <w:sz w:val="20"/>
                <w:szCs w:val="20"/>
              </w:rPr>
              <w:t>Tekuće donacije u novcu</w:t>
            </w:r>
          </w:p>
        </w:tc>
        <w:tc>
          <w:tcPr>
            <w:tcW w:w="2126" w:type="dxa"/>
            <w:tcBorders>
              <w:top w:val="nil"/>
              <w:left w:val="nil"/>
              <w:bottom w:val="single" w:sz="4" w:space="0" w:color="000000"/>
              <w:right w:val="single" w:sz="4" w:space="0" w:color="000000"/>
            </w:tcBorders>
            <w:shd w:val="clear" w:color="000000" w:fill="FFFFFF"/>
            <w:noWrap/>
          </w:tcPr>
          <w:p w14:paraId="2806CD72" w14:textId="52DEC90A" w:rsidR="00413B7C" w:rsidRPr="006C2629" w:rsidRDefault="005A45A6"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40.102,19</w:t>
            </w:r>
          </w:p>
        </w:tc>
        <w:tc>
          <w:tcPr>
            <w:tcW w:w="2177" w:type="dxa"/>
            <w:tcBorders>
              <w:top w:val="nil"/>
              <w:left w:val="nil"/>
              <w:bottom w:val="single" w:sz="4" w:space="0" w:color="000000"/>
              <w:right w:val="single" w:sz="4" w:space="0" w:color="000000"/>
            </w:tcBorders>
            <w:shd w:val="clear" w:color="000000" w:fill="FFFFFF"/>
            <w:noWrap/>
          </w:tcPr>
          <w:p w14:paraId="28045500" w14:textId="0D371085" w:rsidR="00413B7C" w:rsidRPr="006C2629" w:rsidRDefault="005A45A6"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78.937,00</w:t>
            </w:r>
          </w:p>
        </w:tc>
      </w:tr>
      <w:tr w:rsidR="00413B7C" w:rsidRPr="006C2629" w14:paraId="0EE61EE7" w14:textId="77777777" w:rsidTr="005A45A6">
        <w:trPr>
          <w:trHeight w:val="300"/>
        </w:trPr>
        <w:tc>
          <w:tcPr>
            <w:tcW w:w="846" w:type="dxa"/>
            <w:tcBorders>
              <w:top w:val="nil"/>
              <w:left w:val="single" w:sz="4" w:space="0" w:color="000000"/>
              <w:bottom w:val="single" w:sz="4" w:space="0" w:color="auto"/>
              <w:right w:val="single" w:sz="4" w:space="0" w:color="000000"/>
            </w:tcBorders>
            <w:shd w:val="clear" w:color="000000" w:fill="FFFFFF"/>
            <w:noWrap/>
            <w:hideMark/>
          </w:tcPr>
          <w:p w14:paraId="5B111702" w14:textId="77777777" w:rsidR="00413B7C" w:rsidRPr="006C2629" w:rsidRDefault="00413B7C" w:rsidP="007D3E89">
            <w:pPr>
              <w:spacing w:after="0" w:line="240" w:lineRule="auto"/>
              <w:jc w:val="right"/>
              <w:rPr>
                <w:rFonts w:ascii="Times New Roman" w:hAnsi="Times New Roman"/>
                <w:color w:val="000000"/>
                <w:sz w:val="20"/>
                <w:szCs w:val="20"/>
              </w:rPr>
            </w:pPr>
            <w:r w:rsidRPr="006C2629">
              <w:rPr>
                <w:rFonts w:ascii="Times New Roman" w:hAnsi="Times New Roman"/>
                <w:color w:val="000000"/>
                <w:sz w:val="20"/>
                <w:szCs w:val="20"/>
              </w:rPr>
              <w:t>3812</w:t>
            </w:r>
          </w:p>
        </w:tc>
        <w:tc>
          <w:tcPr>
            <w:tcW w:w="4111" w:type="dxa"/>
            <w:tcBorders>
              <w:top w:val="nil"/>
              <w:left w:val="nil"/>
              <w:bottom w:val="single" w:sz="4" w:space="0" w:color="auto"/>
              <w:right w:val="single" w:sz="4" w:space="0" w:color="000000"/>
            </w:tcBorders>
            <w:shd w:val="clear" w:color="000000" w:fill="FFFFFF"/>
            <w:noWrap/>
            <w:hideMark/>
          </w:tcPr>
          <w:p w14:paraId="39AC88C2" w14:textId="77777777" w:rsidR="00413B7C" w:rsidRPr="006C2629" w:rsidRDefault="00413B7C" w:rsidP="007D3E89">
            <w:pPr>
              <w:spacing w:after="0" w:line="240" w:lineRule="auto"/>
              <w:rPr>
                <w:rFonts w:ascii="Times New Roman" w:hAnsi="Times New Roman"/>
                <w:color w:val="000000"/>
                <w:sz w:val="20"/>
                <w:szCs w:val="20"/>
              </w:rPr>
            </w:pPr>
            <w:r w:rsidRPr="006C2629">
              <w:rPr>
                <w:rFonts w:ascii="Times New Roman" w:hAnsi="Times New Roman"/>
                <w:color w:val="000000"/>
                <w:sz w:val="20"/>
                <w:szCs w:val="20"/>
              </w:rPr>
              <w:t>Tekuće donacije u naravi</w:t>
            </w:r>
          </w:p>
        </w:tc>
        <w:tc>
          <w:tcPr>
            <w:tcW w:w="2126" w:type="dxa"/>
            <w:tcBorders>
              <w:top w:val="nil"/>
              <w:left w:val="nil"/>
              <w:bottom w:val="single" w:sz="4" w:space="0" w:color="auto"/>
              <w:right w:val="single" w:sz="4" w:space="0" w:color="000000"/>
            </w:tcBorders>
            <w:shd w:val="clear" w:color="000000" w:fill="FFFFFF"/>
            <w:noWrap/>
          </w:tcPr>
          <w:p w14:paraId="2B075CEF" w14:textId="57E16812" w:rsidR="00413B7C" w:rsidRPr="006C2629" w:rsidRDefault="005A45A6"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1.845,19</w:t>
            </w:r>
          </w:p>
        </w:tc>
        <w:tc>
          <w:tcPr>
            <w:tcW w:w="2177" w:type="dxa"/>
            <w:tcBorders>
              <w:top w:val="nil"/>
              <w:left w:val="nil"/>
              <w:bottom w:val="single" w:sz="4" w:space="0" w:color="auto"/>
              <w:right w:val="single" w:sz="4" w:space="0" w:color="000000"/>
            </w:tcBorders>
            <w:shd w:val="clear" w:color="000000" w:fill="FFFFFF"/>
            <w:noWrap/>
          </w:tcPr>
          <w:p w14:paraId="54850A39" w14:textId="67391EB1" w:rsidR="00413B7C" w:rsidRPr="006C2629" w:rsidRDefault="005A45A6" w:rsidP="007D3E89">
            <w:pPr>
              <w:spacing w:after="0" w:line="240" w:lineRule="auto"/>
              <w:jc w:val="right"/>
              <w:rPr>
                <w:rFonts w:ascii="Times New Roman" w:hAnsi="Times New Roman"/>
                <w:color w:val="000000"/>
                <w:sz w:val="20"/>
                <w:szCs w:val="20"/>
              </w:rPr>
            </w:pPr>
            <w:r>
              <w:rPr>
                <w:rFonts w:ascii="Times New Roman" w:hAnsi="Times New Roman"/>
                <w:color w:val="000000"/>
                <w:sz w:val="20"/>
                <w:szCs w:val="20"/>
              </w:rPr>
              <w:t>1.672,75</w:t>
            </w:r>
          </w:p>
        </w:tc>
      </w:tr>
      <w:tr w:rsidR="00413B7C" w:rsidRPr="006C2629" w14:paraId="7E1CA526" w14:textId="77777777" w:rsidTr="005A45A6">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hideMark/>
          </w:tcPr>
          <w:p w14:paraId="2D3C3080" w14:textId="77777777" w:rsidR="00413B7C" w:rsidRPr="006C2629" w:rsidRDefault="00413B7C" w:rsidP="007D3E89">
            <w:pPr>
              <w:spacing w:after="0" w:line="240" w:lineRule="auto"/>
              <w:jc w:val="right"/>
              <w:rPr>
                <w:rFonts w:ascii="Times New Roman" w:hAnsi="Times New Roman"/>
                <w:sz w:val="20"/>
                <w:szCs w:val="20"/>
              </w:rPr>
            </w:pPr>
            <w:r w:rsidRPr="006C2629">
              <w:rPr>
                <w:rFonts w:ascii="Times New Roman" w:hAnsi="Times New Roman"/>
                <w:sz w:val="20"/>
                <w:szCs w:val="20"/>
              </w:rPr>
              <w:t>3821</w:t>
            </w:r>
          </w:p>
        </w:tc>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14:paraId="791D7B42" w14:textId="77777777" w:rsidR="00413B7C" w:rsidRPr="006C2629" w:rsidRDefault="00413B7C" w:rsidP="007D3E89">
            <w:pPr>
              <w:spacing w:after="0" w:line="240" w:lineRule="auto"/>
              <w:rPr>
                <w:rFonts w:ascii="Times New Roman" w:hAnsi="Times New Roman"/>
                <w:sz w:val="20"/>
                <w:szCs w:val="20"/>
              </w:rPr>
            </w:pPr>
            <w:r w:rsidRPr="006C2629">
              <w:rPr>
                <w:rFonts w:ascii="Times New Roman" w:hAnsi="Times New Roman"/>
                <w:sz w:val="20"/>
                <w:szCs w:val="20"/>
              </w:rPr>
              <w:t>Kapitalne donacije neprofitnim organizacijama</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tcPr>
          <w:p w14:paraId="7B0E8E3B" w14:textId="7E7197BE" w:rsidR="00413B7C" w:rsidRPr="006C2629" w:rsidRDefault="005A45A6" w:rsidP="007D3E89">
            <w:pPr>
              <w:spacing w:after="0" w:line="240" w:lineRule="auto"/>
              <w:jc w:val="right"/>
              <w:rPr>
                <w:rFonts w:ascii="Times New Roman" w:hAnsi="Times New Roman"/>
                <w:sz w:val="20"/>
                <w:szCs w:val="20"/>
              </w:rPr>
            </w:pPr>
            <w:r>
              <w:rPr>
                <w:rFonts w:ascii="Times New Roman" w:hAnsi="Times New Roman"/>
                <w:sz w:val="20"/>
                <w:szCs w:val="20"/>
              </w:rPr>
              <w:t>0,00</w:t>
            </w:r>
          </w:p>
        </w:tc>
        <w:tc>
          <w:tcPr>
            <w:tcW w:w="2177" w:type="dxa"/>
            <w:tcBorders>
              <w:top w:val="single" w:sz="4" w:space="0" w:color="auto"/>
              <w:left w:val="single" w:sz="4" w:space="0" w:color="auto"/>
              <w:bottom w:val="single" w:sz="4" w:space="0" w:color="auto"/>
              <w:right w:val="single" w:sz="4" w:space="0" w:color="auto"/>
            </w:tcBorders>
            <w:shd w:val="clear" w:color="000000" w:fill="FFFFFF"/>
            <w:noWrap/>
          </w:tcPr>
          <w:p w14:paraId="787365FD" w14:textId="19575BFE" w:rsidR="00413B7C" w:rsidRPr="006C2629" w:rsidRDefault="005A45A6" w:rsidP="007D3E89">
            <w:pPr>
              <w:spacing w:after="0" w:line="240" w:lineRule="auto"/>
              <w:jc w:val="right"/>
              <w:rPr>
                <w:rFonts w:ascii="Times New Roman" w:hAnsi="Times New Roman"/>
                <w:sz w:val="20"/>
                <w:szCs w:val="20"/>
              </w:rPr>
            </w:pPr>
            <w:r>
              <w:rPr>
                <w:rFonts w:ascii="Times New Roman" w:hAnsi="Times New Roman"/>
                <w:sz w:val="20"/>
                <w:szCs w:val="20"/>
              </w:rPr>
              <w:t>23.991,25</w:t>
            </w:r>
          </w:p>
        </w:tc>
      </w:tr>
      <w:tr w:rsidR="005A45A6" w:rsidRPr="006C2629" w14:paraId="63A75A00" w14:textId="77777777" w:rsidTr="005A45A6">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tcPr>
          <w:p w14:paraId="5AF36B0A" w14:textId="0731D6F5" w:rsidR="005A45A6" w:rsidRPr="006C2629" w:rsidRDefault="005A45A6" w:rsidP="007D3E89">
            <w:pPr>
              <w:spacing w:after="0" w:line="240" w:lineRule="auto"/>
              <w:jc w:val="right"/>
              <w:rPr>
                <w:rFonts w:ascii="Times New Roman" w:hAnsi="Times New Roman"/>
                <w:sz w:val="20"/>
                <w:szCs w:val="20"/>
              </w:rPr>
            </w:pPr>
            <w:r>
              <w:rPr>
                <w:rFonts w:ascii="Times New Roman" w:hAnsi="Times New Roman"/>
                <w:sz w:val="20"/>
                <w:szCs w:val="20"/>
              </w:rPr>
              <w:t>3861</w:t>
            </w:r>
          </w:p>
        </w:tc>
        <w:tc>
          <w:tcPr>
            <w:tcW w:w="4111" w:type="dxa"/>
            <w:tcBorders>
              <w:top w:val="single" w:sz="4" w:space="0" w:color="auto"/>
              <w:left w:val="single" w:sz="4" w:space="0" w:color="auto"/>
              <w:bottom w:val="single" w:sz="4" w:space="0" w:color="auto"/>
              <w:right w:val="single" w:sz="4" w:space="0" w:color="auto"/>
            </w:tcBorders>
            <w:shd w:val="clear" w:color="000000" w:fill="FFFFFF"/>
            <w:noWrap/>
          </w:tcPr>
          <w:p w14:paraId="475E5492" w14:textId="15D56A07" w:rsidR="005A45A6" w:rsidRPr="006C2629" w:rsidRDefault="001F3751" w:rsidP="007D3E89">
            <w:pPr>
              <w:spacing w:after="0" w:line="240" w:lineRule="auto"/>
              <w:rPr>
                <w:rFonts w:ascii="Times New Roman" w:hAnsi="Times New Roman"/>
                <w:sz w:val="20"/>
                <w:szCs w:val="20"/>
              </w:rPr>
            </w:pPr>
            <w:r>
              <w:rPr>
                <w:rFonts w:ascii="Times New Roman" w:hAnsi="Times New Roman"/>
                <w:sz w:val="20"/>
                <w:szCs w:val="20"/>
              </w:rPr>
              <w:t>Kapitalne pomoći trgovačkim društvima</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tcPr>
          <w:p w14:paraId="08DF3B23" w14:textId="56BAC138" w:rsidR="005A45A6" w:rsidRDefault="001F3751" w:rsidP="007D3E89">
            <w:pPr>
              <w:spacing w:after="0" w:line="240" w:lineRule="auto"/>
              <w:jc w:val="right"/>
              <w:rPr>
                <w:rFonts w:ascii="Times New Roman" w:hAnsi="Times New Roman"/>
                <w:sz w:val="20"/>
                <w:szCs w:val="20"/>
              </w:rPr>
            </w:pPr>
            <w:r>
              <w:rPr>
                <w:rFonts w:ascii="Times New Roman" w:hAnsi="Times New Roman"/>
                <w:sz w:val="20"/>
                <w:szCs w:val="20"/>
              </w:rPr>
              <w:t>0,00</w:t>
            </w:r>
          </w:p>
        </w:tc>
        <w:tc>
          <w:tcPr>
            <w:tcW w:w="2177" w:type="dxa"/>
            <w:tcBorders>
              <w:top w:val="single" w:sz="4" w:space="0" w:color="auto"/>
              <w:left w:val="single" w:sz="4" w:space="0" w:color="auto"/>
              <w:bottom w:val="single" w:sz="4" w:space="0" w:color="auto"/>
              <w:right w:val="single" w:sz="4" w:space="0" w:color="auto"/>
            </w:tcBorders>
            <w:shd w:val="clear" w:color="000000" w:fill="FFFFFF"/>
            <w:noWrap/>
          </w:tcPr>
          <w:p w14:paraId="76EC55E0" w14:textId="1B3C8779" w:rsidR="005A45A6" w:rsidRDefault="001F3751" w:rsidP="007D3E89">
            <w:pPr>
              <w:spacing w:after="0" w:line="240" w:lineRule="auto"/>
              <w:jc w:val="right"/>
              <w:rPr>
                <w:rFonts w:ascii="Times New Roman" w:hAnsi="Times New Roman"/>
                <w:sz w:val="20"/>
                <w:szCs w:val="20"/>
              </w:rPr>
            </w:pPr>
            <w:r>
              <w:rPr>
                <w:rFonts w:ascii="Times New Roman" w:hAnsi="Times New Roman"/>
                <w:sz w:val="20"/>
                <w:szCs w:val="20"/>
              </w:rPr>
              <w:t>29.000,00</w:t>
            </w:r>
          </w:p>
        </w:tc>
      </w:tr>
    </w:tbl>
    <w:p w14:paraId="2BF8A7F4" w14:textId="77777777" w:rsidR="00413B7C" w:rsidRDefault="00413B7C" w:rsidP="00413B7C">
      <w:pPr>
        <w:autoSpaceDE w:val="0"/>
        <w:autoSpaceDN w:val="0"/>
        <w:adjustRightInd w:val="0"/>
        <w:spacing w:after="0" w:line="240" w:lineRule="auto"/>
        <w:jc w:val="both"/>
        <w:rPr>
          <w:rFonts w:ascii="Times New Roman" w:eastAsiaTheme="minorHAnsi" w:hAnsi="Times New Roman"/>
          <w:b/>
          <w:bCs/>
          <w:sz w:val="24"/>
          <w:szCs w:val="24"/>
          <w:lang w:eastAsia="en-US"/>
        </w:rPr>
      </w:pPr>
    </w:p>
    <w:p w14:paraId="7D500CEF" w14:textId="7EC84ABE" w:rsidR="00413B7C" w:rsidRDefault="001F3751" w:rsidP="00413B7C">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 xml:space="preserve">Iznos od 29.000,00 EUR evidentiran </w:t>
      </w:r>
      <w:r w:rsidR="00FB4C8F">
        <w:rPr>
          <w:rFonts w:ascii="Times New Roman" w:eastAsiaTheme="minorHAnsi" w:hAnsi="Times New Roman"/>
          <w:lang w:eastAsia="en-US"/>
        </w:rPr>
        <w:t xml:space="preserve">pod </w:t>
      </w:r>
      <w:r>
        <w:rPr>
          <w:rFonts w:ascii="Times New Roman" w:eastAsiaTheme="minorHAnsi" w:hAnsi="Times New Roman"/>
          <w:lang w:eastAsia="en-US"/>
        </w:rPr>
        <w:t>Kapitalnim pomoćima trgovačkim društvima odnosi se na pomoć dodjeljenoj Istarskom vodovodu d.</w:t>
      </w:r>
      <w:r w:rsidR="00FB4C8F">
        <w:rPr>
          <w:rFonts w:ascii="Times New Roman" w:eastAsiaTheme="minorHAnsi" w:hAnsi="Times New Roman"/>
          <w:lang w:eastAsia="en-US"/>
        </w:rPr>
        <w:t>o.o.</w:t>
      </w:r>
      <w:r>
        <w:rPr>
          <w:rFonts w:ascii="Times New Roman" w:eastAsiaTheme="minorHAnsi" w:hAnsi="Times New Roman"/>
          <w:lang w:eastAsia="en-US"/>
        </w:rPr>
        <w:t xml:space="preserve"> za sufinanciranje izgradnje vodovodne mreže u naselju Zrenj</w:t>
      </w:r>
      <w:r w:rsidR="00413B7C">
        <w:rPr>
          <w:rFonts w:ascii="Times New Roman" w:eastAsiaTheme="minorHAnsi" w:hAnsi="Times New Roman"/>
          <w:lang w:eastAsia="en-US"/>
        </w:rPr>
        <w:t>.</w:t>
      </w:r>
    </w:p>
    <w:p w14:paraId="030D301A" w14:textId="77777777" w:rsidR="00413B7C" w:rsidRDefault="00413B7C" w:rsidP="00413B7C">
      <w:pPr>
        <w:autoSpaceDE w:val="0"/>
        <w:autoSpaceDN w:val="0"/>
        <w:adjustRightInd w:val="0"/>
        <w:spacing w:after="0" w:line="240" w:lineRule="auto"/>
        <w:jc w:val="both"/>
        <w:rPr>
          <w:rFonts w:ascii="Times New Roman" w:eastAsiaTheme="minorHAnsi" w:hAnsi="Times New Roman"/>
          <w:lang w:eastAsia="en-US"/>
        </w:rPr>
      </w:pPr>
    </w:p>
    <w:p w14:paraId="73937348" w14:textId="77777777" w:rsidR="00431617" w:rsidRDefault="00431617" w:rsidP="009E28D6">
      <w:pPr>
        <w:autoSpaceDE w:val="0"/>
        <w:autoSpaceDN w:val="0"/>
        <w:adjustRightInd w:val="0"/>
        <w:spacing w:after="0" w:line="240" w:lineRule="auto"/>
        <w:jc w:val="both"/>
        <w:rPr>
          <w:rFonts w:ascii="Times New Roman" w:eastAsiaTheme="minorHAnsi" w:hAnsi="Times New Roman"/>
          <w:b/>
          <w:bCs/>
          <w:lang w:eastAsia="en-US"/>
        </w:rPr>
      </w:pPr>
    </w:p>
    <w:p w14:paraId="5BA46261" w14:textId="0AAEEBA9" w:rsidR="009E28D6" w:rsidRPr="00F10507" w:rsidRDefault="009E28D6" w:rsidP="009E28D6">
      <w:pPr>
        <w:autoSpaceDE w:val="0"/>
        <w:autoSpaceDN w:val="0"/>
        <w:adjustRightInd w:val="0"/>
        <w:spacing w:after="0" w:line="240" w:lineRule="auto"/>
        <w:jc w:val="both"/>
        <w:rPr>
          <w:rFonts w:ascii="Times New Roman" w:eastAsiaTheme="minorHAnsi" w:hAnsi="Times New Roman"/>
          <w:b/>
          <w:bCs/>
          <w:lang w:eastAsia="en-US"/>
        </w:rPr>
      </w:pPr>
      <w:r w:rsidRPr="00F10507">
        <w:rPr>
          <w:rFonts w:ascii="Times New Roman" w:eastAsiaTheme="minorHAnsi" w:hAnsi="Times New Roman"/>
          <w:b/>
          <w:bCs/>
          <w:lang w:eastAsia="en-US"/>
        </w:rPr>
        <w:t>RASHODI ZA NABAVU NEFINANCIJSKE IMOVINE</w:t>
      </w:r>
    </w:p>
    <w:p w14:paraId="1FDE92A2" w14:textId="5362A2D5" w:rsidR="00AA3EFD" w:rsidRPr="00AA3EFD" w:rsidRDefault="00AA3EFD" w:rsidP="00AA3EFD">
      <w:pPr>
        <w:autoSpaceDE w:val="0"/>
        <w:autoSpaceDN w:val="0"/>
        <w:adjustRightInd w:val="0"/>
        <w:spacing w:after="0" w:line="240" w:lineRule="auto"/>
        <w:jc w:val="both"/>
        <w:rPr>
          <w:rFonts w:ascii="Times New Roman" w:hAnsi="Times New Roman"/>
        </w:rPr>
      </w:pPr>
      <w:r w:rsidRPr="00AA3EFD">
        <w:rPr>
          <w:rFonts w:ascii="Times New Roman" w:hAnsi="Times New Roman"/>
        </w:rPr>
        <w:t>Rashodi za nabavu nefinancijske imovine izvršeni su u iznosu od 281.105,23 EUR i u odnosu na ostvarenje u istom razdoblju prethodne godine bilježe povećanje za 9,</w:t>
      </w:r>
      <w:r>
        <w:rPr>
          <w:rFonts w:ascii="Times New Roman" w:hAnsi="Times New Roman"/>
        </w:rPr>
        <w:t>78</w:t>
      </w:r>
      <w:r w:rsidRPr="00AA3EFD">
        <w:rPr>
          <w:rFonts w:ascii="Times New Roman" w:hAnsi="Times New Roman"/>
        </w:rPr>
        <w:t xml:space="preserve"> %.</w:t>
      </w:r>
    </w:p>
    <w:p w14:paraId="38AC03E1" w14:textId="77777777" w:rsidR="00AA3EFD" w:rsidRPr="00AA3EFD" w:rsidRDefault="00AA3EFD" w:rsidP="00AA3EFD">
      <w:pPr>
        <w:autoSpaceDE w:val="0"/>
        <w:autoSpaceDN w:val="0"/>
        <w:adjustRightInd w:val="0"/>
        <w:spacing w:after="0" w:line="240" w:lineRule="auto"/>
        <w:jc w:val="both"/>
        <w:rPr>
          <w:rFonts w:ascii="Times New Roman" w:hAnsi="Times New Roman"/>
        </w:rPr>
      </w:pPr>
    </w:p>
    <w:p w14:paraId="3A1D9CF7" w14:textId="77777777" w:rsidR="00AA3EFD" w:rsidRPr="00AA3EFD" w:rsidRDefault="00AA3EFD" w:rsidP="00AA3EFD">
      <w:pPr>
        <w:spacing w:after="0" w:line="240" w:lineRule="auto"/>
        <w:jc w:val="both"/>
        <w:rPr>
          <w:rFonts w:ascii="Times New Roman" w:hAnsi="Times New Roman"/>
        </w:rPr>
      </w:pPr>
      <w:r w:rsidRPr="00AA3EFD">
        <w:rPr>
          <w:rFonts w:ascii="Times New Roman" w:hAnsi="Times New Roman"/>
        </w:rPr>
        <w:t xml:space="preserve">U izvještajnom razdoblju 2024. godine najznačajniji rashodi odnose se na nabavu službenog automobila (ŠIFRA 4231) u iznosu od 27.936,16 EUR, te na izradu projektne dokumentacije za uređenje i opremanje parkirališta u Oprtlju u ukupnom iznosu od 26.008,76 EUR (ŠIFRA 421) Građevinski objekti. Počelo se sa uređenjem i opremanjem dječjih igrališta na području općine, te uređenjem parkirališta za osobna vozila u naselju Oprtalj.  </w:t>
      </w:r>
    </w:p>
    <w:p w14:paraId="0A0DA24B" w14:textId="77777777" w:rsidR="00AA3EFD" w:rsidRDefault="00AA3EFD" w:rsidP="00AA3EFD">
      <w:pPr>
        <w:spacing w:after="0" w:line="240" w:lineRule="auto"/>
        <w:jc w:val="both"/>
        <w:rPr>
          <w:rFonts w:ascii="Times New Roman" w:hAnsi="Times New Roman"/>
        </w:rPr>
      </w:pPr>
    </w:p>
    <w:p w14:paraId="4817D3B7" w14:textId="77777777" w:rsidR="00AA3EFD" w:rsidRDefault="00AA3EFD" w:rsidP="00AA3EFD">
      <w:pPr>
        <w:spacing w:after="0" w:line="240" w:lineRule="auto"/>
        <w:jc w:val="both"/>
        <w:rPr>
          <w:rFonts w:ascii="Times New Roman" w:hAnsi="Times New Roman"/>
        </w:rPr>
      </w:pPr>
      <w:r w:rsidRPr="00AA3EFD">
        <w:rPr>
          <w:rFonts w:ascii="Times New Roman" w:hAnsi="Times New Roman"/>
        </w:rPr>
        <w:t xml:space="preserve">U tekućem izvještajnom razdoblju značajnije povećanje u odnosu na prethodno izvještajno razdoblje bilježe Postrojenja i opreme (ŠIFRA 422). Navedeno povećanje odnosi se na nabavu seta drvenih dječjih igrališta, postavljanje obavijesnih ploča, te nabava klupa sa pripadajućom opremom za vanjsko uređenje naselja. </w:t>
      </w:r>
    </w:p>
    <w:p w14:paraId="1D1B7B7C" w14:textId="5521DD5C" w:rsidR="00AA3EFD" w:rsidRPr="00AA3EFD" w:rsidRDefault="00AA3EFD" w:rsidP="00AA3EFD">
      <w:pPr>
        <w:spacing w:after="0" w:line="240" w:lineRule="auto"/>
        <w:jc w:val="both"/>
        <w:rPr>
          <w:rFonts w:ascii="Times New Roman" w:hAnsi="Times New Roman"/>
        </w:rPr>
      </w:pPr>
      <w:r w:rsidRPr="00AA3EFD">
        <w:rPr>
          <w:rFonts w:ascii="Times New Roman" w:hAnsi="Times New Roman"/>
        </w:rPr>
        <w:lastRenderedPageBreak/>
        <w:t>Također povećanje zabilježeno je na nabavi uređaja strojeva i opreme za ostale namjene (ŠIFRA 4227) sa prethodnih 39.222,75 EUR na 99.490,52 EUR u izvještajnom razdoblju. Navedeno povećanje se prvenstveno odnosi na postavljanje nove autobusne stanice u naselju Jakusi i Vižintini, te nabavu, implementaciju i integraciju osjetila za praćenje prometa, temperature kolnika i kvalitete zraka sufinancirano od strane Fonda za zaštitu okoliša i energetsku učinkovitost, uređenje kamenog nosača jarbola na trgu Belvedere, te nabava štandova i bine za potrebe organizacije manifestacija na području općine</w:t>
      </w:r>
    </w:p>
    <w:p w14:paraId="04AAC417" w14:textId="77777777" w:rsidR="00B43B52" w:rsidRDefault="00B43B52" w:rsidP="00AA3EFD">
      <w:pPr>
        <w:autoSpaceDE w:val="0"/>
        <w:autoSpaceDN w:val="0"/>
        <w:adjustRightInd w:val="0"/>
        <w:spacing w:after="0" w:line="240" w:lineRule="auto"/>
        <w:jc w:val="both"/>
        <w:rPr>
          <w:rFonts w:ascii="Times New Roman" w:eastAsiaTheme="minorHAnsi" w:hAnsi="Times New Roman"/>
          <w:lang w:eastAsia="en-US"/>
        </w:rPr>
      </w:pPr>
    </w:p>
    <w:p w14:paraId="0F35F003" w14:textId="77777777" w:rsidR="00AA3EFD" w:rsidRPr="00AA3EFD" w:rsidRDefault="00AA3EFD" w:rsidP="00AA3EFD">
      <w:pPr>
        <w:autoSpaceDE w:val="0"/>
        <w:autoSpaceDN w:val="0"/>
        <w:adjustRightInd w:val="0"/>
        <w:spacing w:after="0" w:line="240" w:lineRule="auto"/>
        <w:jc w:val="both"/>
        <w:rPr>
          <w:rFonts w:ascii="Times New Roman" w:eastAsiaTheme="minorHAnsi" w:hAnsi="Times New Roman"/>
          <w:lang w:eastAsia="en-US"/>
        </w:rPr>
      </w:pPr>
    </w:p>
    <w:p w14:paraId="748DCE3B" w14:textId="77777777" w:rsidR="00F10507" w:rsidRPr="00AA3EFD" w:rsidRDefault="00F10507" w:rsidP="00AA3EFD">
      <w:pPr>
        <w:autoSpaceDE w:val="0"/>
        <w:autoSpaceDN w:val="0"/>
        <w:adjustRightInd w:val="0"/>
        <w:spacing w:after="0" w:line="240" w:lineRule="auto"/>
        <w:jc w:val="both"/>
        <w:rPr>
          <w:rFonts w:ascii="Times New Roman" w:eastAsiaTheme="minorHAnsi" w:hAnsi="Times New Roman"/>
          <w:b/>
          <w:bCs/>
          <w:lang w:eastAsia="en-US"/>
        </w:rPr>
      </w:pPr>
    </w:p>
    <w:p w14:paraId="263169F1" w14:textId="735DE7AD" w:rsidR="00163FEE" w:rsidRPr="001639B0" w:rsidRDefault="001639B0" w:rsidP="00B43B52">
      <w:pPr>
        <w:autoSpaceDE w:val="0"/>
        <w:autoSpaceDN w:val="0"/>
        <w:adjustRightInd w:val="0"/>
        <w:spacing w:after="0" w:line="240" w:lineRule="auto"/>
        <w:jc w:val="both"/>
        <w:rPr>
          <w:rFonts w:ascii="Times New Roman" w:eastAsiaTheme="minorHAnsi" w:hAnsi="Times New Roman"/>
          <w:b/>
          <w:bCs/>
          <w:sz w:val="24"/>
          <w:szCs w:val="24"/>
          <w:lang w:eastAsia="en-US"/>
        </w:rPr>
      </w:pPr>
      <w:r w:rsidRPr="001639B0">
        <w:rPr>
          <w:rFonts w:ascii="Times New Roman" w:eastAsiaTheme="minorHAnsi" w:hAnsi="Times New Roman"/>
          <w:b/>
          <w:bCs/>
          <w:sz w:val="24"/>
          <w:szCs w:val="24"/>
          <w:lang w:eastAsia="en-US"/>
        </w:rPr>
        <w:t>IZDACI ZA FINANCIJSKU IMOVINU I OTPLATU ZAJMOVA</w:t>
      </w:r>
    </w:p>
    <w:p w14:paraId="4D27DA57" w14:textId="77777777" w:rsidR="00F6722E" w:rsidRPr="00F6722E" w:rsidRDefault="00F6722E" w:rsidP="00F6722E">
      <w:pPr>
        <w:autoSpaceDE w:val="0"/>
        <w:autoSpaceDN w:val="0"/>
        <w:adjustRightInd w:val="0"/>
        <w:spacing w:after="0" w:line="240" w:lineRule="auto"/>
        <w:jc w:val="both"/>
        <w:rPr>
          <w:rFonts w:ascii="Times New Roman" w:hAnsi="Times New Roman"/>
        </w:rPr>
      </w:pPr>
      <w:r w:rsidRPr="00F6722E">
        <w:rPr>
          <w:rFonts w:ascii="Times New Roman" w:hAnsi="Times New Roman"/>
        </w:rPr>
        <w:t>Izdaci za financijsku imovinu i otplate zajmova ostvareni su u iznosu od 75.041,52 EUR što u odnosu na prethodno izvještajno razdoblje predstavlja povećanje za više od dva puta.</w:t>
      </w:r>
    </w:p>
    <w:p w14:paraId="0CF01CF1" w14:textId="77777777" w:rsidR="00F6722E" w:rsidRPr="00F6722E" w:rsidRDefault="00F6722E" w:rsidP="00F6722E">
      <w:pPr>
        <w:autoSpaceDE w:val="0"/>
        <w:autoSpaceDN w:val="0"/>
        <w:adjustRightInd w:val="0"/>
        <w:spacing w:after="0" w:line="240" w:lineRule="auto"/>
        <w:jc w:val="both"/>
        <w:rPr>
          <w:rFonts w:ascii="Times New Roman" w:hAnsi="Times New Roman"/>
          <w:b/>
          <w:i/>
        </w:rPr>
      </w:pPr>
    </w:p>
    <w:p w14:paraId="7292FB27" w14:textId="77777777" w:rsidR="00F6722E" w:rsidRPr="00F6722E" w:rsidRDefault="00F6722E" w:rsidP="00F6722E">
      <w:pPr>
        <w:spacing w:after="0" w:line="240" w:lineRule="auto"/>
        <w:jc w:val="both"/>
        <w:rPr>
          <w:rFonts w:ascii="Times New Roman" w:hAnsi="Times New Roman"/>
        </w:rPr>
      </w:pPr>
      <w:r w:rsidRPr="00F6722E">
        <w:rPr>
          <w:rFonts w:ascii="Times New Roman" w:hAnsi="Times New Roman"/>
        </w:rPr>
        <w:t>Navedeno povećanje prvenstveno bilježi stavka Dani zajmovi neprofitnim organizacijama, građanima i kućanstvima u tuzemstvu (ŠIFRA 5121). Navedeno se odnosi na prodaju stambenog objekta građaninu na rate temeljem poticajne demografske politike općine.</w:t>
      </w:r>
    </w:p>
    <w:p w14:paraId="0BB9EA74" w14:textId="77777777" w:rsidR="00F6722E" w:rsidRPr="00F6722E" w:rsidRDefault="00F6722E" w:rsidP="00F6722E">
      <w:pPr>
        <w:spacing w:after="0" w:line="240" w:lineRule="auto"/>
        <w:jc w:val="both"/>
        <w:rPr>
          <w:rFonts w:ascii="Times New Roman" w:hAnsi="Times New Roman"/>
        </w:rPr>
      </w:pPr>
      <w:r w:rsidRPr="00F6722E">
        <w:rPr>
          <w:rFonts w:ascii="Times New Roman" w:hAnsi="Times New Roman"/>
        </w:rPr>
        <w:t>ŠIFRA (54) bilježi značajniji pad u odnosu na prethodno izvještajno razdoblje iz razloga jer u prvoj polovici tekuće godine izvršen je povrat dugoročnog kredita u cijelosti.</w:t>
      </w:r>
    </w:p>
    <w:p w14:paraId="0DF4449C" w14:textId="77777777" w:rsidR="00AB7D34" w:rsidRPr="00F6722E" w:rsidRDefault="00AB7D34" w:rsidP="00F6722E">
      <w:pPr>
        <w:autoSpaceDE w:val="0"/>
        <w:autoSpaceDN w:val="0"/>
        <w:adjustRightInd w:val="0"/>
        <w:spacing w:after="0" w:line="240" w:lineRule="auto"/>
        <w:jc w:val="both"/>
        <w:rPr>
          <w:rFonts w:ascii="Times New Roman" w:hAnsi="Times New Roman"/>
        </w:rPr>
      </w:pPr>
    </w:p>
    <w:p w14:paraId="6EF8C05A" w14:textId="77777777" w:rsidR="008D4FB2" w:rsidRPr="00AB7D34" w:rsidRDefault="00AB7D34" w:rsidP="00B43B52">
      <w:pPr>
        <w:autoSpaceDE w:val="0"/>
        <w:autoSpaceDN w:val="0"/>
        <w:adjustRightInd w:val="0"/>
        <w:spacing w:after="0" w:line="240" w:lineRule="auto"/>
        <w:jc w:val="both"/>
        <w:rPr>
          <w:rFonts w:ascii="Times New Roman" w:hAnsi="Times New Roman"/>
          <w:b/>
          <w:bCs/>
        </w:rPr>
      </w:pPr>
      <w:r w:rsidRPr="00AB7D34">
        <w:rPr>
          <w:rFonts w:ascii="Times New Roman" w:hAnsi="Times New Roman"/>
          <w:b/>
          <w:bCs/>
        </w:rPr>
        <w:t>Kaštijun d.o.o.</w:t>
      </w:r>
    </w:p>
    <w:p w14:paraId="57F838ED" w14:textId="77777777" w:rsidR="00F531E4" w:rsidRPr="00D14622" w:rsidRDefault="008D4FB2" w:rsidP="00B43B52">
      <w:pPr>
        <w:autoSpaceDE w:val="0"/>
        <w:autoSpaceDN w:val="0"/>
        <w:adjustRightInd w:val="0"/>
        <w:spacing w:after="0" w:line="240" w:lineRule="auto"/>
        <w:jc w:val="both"/>
        <w:rPr>
          <w:rFonts w:ascii="Times New Roman" w:hAnsi="Times New Roman"/>
        </w:rPr>
      </w:pPr>
      <w:r w:rsidRPr="00D14622">
        <w:rPr>
          <w:rFonts w:ascii="Times New Roman" w:hAnsi="Times New Roman"/>
        </w:rPr>
        <w:t>Općina Oprtalj i Istarska županija sklopili su Sporazum o zajedničkom sufinanciranju izgradnje Županijskog centra za gospodarenje otpadom Kaštijun. Temeljem Ugovora o načinu i uvjetima povrata sredstava u Proračun Istarske županije za izgradnju ŽCGO "Kaštijun" KLASA: 351-01/16- 01/0</w:t>
      </w:r>
      <w:r w:rsidR="007F01FE">
        <w:rPr>
          <w:rFonts w:ascii="Times New Roman" w:hAnsi="Times New Roman"/>
        </w:rPr>
        <w:t>1</w:t>
      </w:r>
      <w:r w:rsidRPr="00D14622">
        <w:rPr>
          <w:rFonts w:ascii="Times New Roman" w:hAnsi="Times New Roman"/>
        </w:rPr>
        <w:t xml:space="preserve"> URBROJ: 2105</w:t>
      </w:r>
      <w:r w:rsidR="007F01FE">
        <w:rPr>
          <w:rFonts w:ascii="Times New Roman" w:hAnsi="Times New Roman"/>
        </w:rPr>
        <w:t xml:space="preserve">-02/17-01-1 </w:t>
      </w:r>
      <w:r w:rsidRPr="00D14622">
        <w:rPr>
          <w:rFonts w:ascii="Times New Roman" w:hAnsi="Times New Roman"/>
        </w:rPr>
        <w:t xml:space="preserve">od </w:t>
      </w:r>
      <w:r w:rsidR="007F01FE">
        <w:rPr>
          <w:rFonts w:ascii="Times New Roman" w:hAnsi="Times New Roman"/>
        </w:rPr>
        <w:t>17</w:t>
      </w:r>
      <w:r w:rsidRPr="00D14622">
        <w:rPr>
          <w:rFonts w:ascii="Times New Roman" w:hAnsi="Times New Roman"/>
        </w:rPr>
        <w:t>. listopada 20</w:t>
      </w:r>
      <w:r w:rsidR="007F01FE">
        <w:rPr>
          <w:rFonts w:ascii="Times New Roman" w:hAnsi="Times New Roman"/>
        </w:rPr>
        <w:t>16</w:t>
      </w:r>
      <w:r w:rsidRPr="00D14622">
        <w:rPr>
          <w:rFonts w:ascii="Times New Roman" w:hAnsi="Times New Roman"/>
        </w:rPr>
        <w:t xml:space="preserve">. godine, Općina Oprtalj će uplatiti 80 rata po </w:t>
      </w:r>
      <w:r w:rsidR="007F01FE">
        <w:rPr>
          <w:rFonts w:ascii="Times New Roman" w:hAnsi="Times New Roman"/>
        </w:rPr>
        <w:t>336,93 EUR</w:t>
      </w:r>
      <w:r w:rsidRPr="00D14622">
        <w:rPr>
          <w:rFonts w:ascii="Times New Roman" w:hAnsi="Times New Roman"/>
        </w:rPr>
        <w:t xml:space="preserve"> što ukupno iznosi </w:t>
      </w:r>
      <w:r w:rsidR="007F01FE">
        <w:rPr>
          <w:rFonts w:ascii="Times New Roman" w:hAnsi="Times New Roman"/>
        </w:rPr>
        <w:t>26.954,45 EUR</w:t>
      </w:r>
      <w:r w:rsidRPr="00D14622">
        <w:rPr>
          <w:rFonts w:ascii="Times New Roman" w:hAnsi="Times New Roman"/>
        </w:rPr>
        <w:t xml:space="preserve">. </w:t>
      </w:r>
    </w:p>
    <w:p w14:paraId="68ACBC3A" w14:textId="77777777" w:rsidR="008D4FB2" w:rsidRPr="00F531E4" w:rsidRDefault="008D4FB2" w:rsidP="00B43B52">
      <w:p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Temeljem članka 4. Ugovora uplaćena sredstva predstavljaju vlasničke udjele u Kaštijunu d.o.o. Do kraja 2022. godine uplate su izvršene u kunama po srednjem tečaju HNB na dan uplate, a od 01.01.2023. uplate se vrše u eurima.</w:t>
      </w:r>
    </w:p>
    <w:p w14:paraId="45BDFEFF" w14:textId="77777777" w:rsidR="008D4FB2" w:rsidRPr="00F531E4" w:rsidRDefault="008D4FB2" w:rsidP="00B43B52">
      <w:pPr>
        <w:autoSpaceDE w:val="0"/>
        <w:autoSpaceDN w:val="0"/>
        <w:adjustRightInd w:val="0"/>
        <w:spacing w:after="0" w:line="240" w:lineRule="auto"/>
        <w:jc w:val="both"/>
        <w:rPr>
          <w:rFonts w:ascii="Times New Roman" w:hAnsi="Times New Roman"/>
        </w:rPr>
      </w:pPr>
    </w:p>
    <w:p w14:paraId="24EC5521" w14:textId="7A587C68" w:rsidR="008D4FB2" w:rsidRPr="00F531E4" w:rsidRDefault="008D4FB2" w:rsidP="00B43B52">
      <w:pPr>
        <w:autoSpaceDE w:val="0"/>
        <w:autoSpaceDN w:val="0"/>
        <w:adjustRightInd w:val="0"/>
        <w:spacing w:after="0" w:line="240" w:lineRule="auto"/>
        <w:jc w:val="both"/>
        <w:rPr>
          <w:rFonts w:ascii="Times New Roman" w:hAnsi="Times New Roman"/>
        </w:rPr>
      </w:pPr>
      <w:r w:rsidRPr="00F531E4">
        <w:rPr>
          <w:rFonts w:ascii="Times New Roman" w:hAnsi="Times New Roman"/>
        </w:rPr>
        <w:t xml:space="preserve">Do </w:t>
      </w:r>
      <w:r w:rsidR="00677AB3">
        <w:rPr>
          <w:rFonts w:ascii="Times New Roman" w:hAnsi="Times New Roman"/>
        </w:rPr>
        <w:t>31.12</w:t>
      </w:r>
      <w:r w:rsidRPr="00F531E4">
        <w:rPr>
          <w:rFonts w:ascii="Times New Roman" w:hAnsi="Times New Roman"/>
        </w:rPr>
        <w:t>.202</w:t>
      </w:r>
      <w:r w:rsidR="00F6722E">
        <w:rPr>
          <w:rFonts w:ascii="Times New Roman" w:hAnsi="Times New Roman"/>
        </w:rPr>
        <w:t>5</w:t>
      </w:r>
      <w:r w:rsidRPr="00F531E4">
        <w:rPr>
          <w:rFonts w:ascii="Times New Roman" w:hAnsi="Times New Roman"/>
        </w:rPr>
        <w:t>. izvršene su slijedeće uplate:</w:t>
      </w:r>
    </w:p>
    <w:p w14:paraId="198A9A53" w14:textId="77777777" w:rsidR="0066629F" w:rsidRPr="00F531E4" w:rsidRDefault="0066629F" w:rsidP="0066629F">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2017. godine uplaćeno je 10.202,36 kn</w:t>
      </w:r>
    </w:p>
    <w:p w14:paraId="754F12A1" w14:textId="77777777" w:rsidR="008D4FB2" w:rsidRPr="00F531E4" w:rsidRDefault="008D4FB2" w:rsidP="008D4FB2">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 xml:space="preserve">2020. godine uplaćeno je </w:t>
      </w:r>
      <w:r w:rsidR="0066629F" w:rsidRPr="00F531E4">
        <w:rPr>
          <w:rFonts w:ascii="Times New Roman" w:hAnsi="Times New Roman"/>
        </w:rPr>
        <w:t>7.587,43 kn</w:t>
      </w:r>
    </w:p>
    <w:p w14:paraId="758A9855" w14:textId="77777777" w:rsidR="0066629F" w:rsidRPr="00F531E4" w:rsidRDefault="008D4FB2" w:rsidP="008D4FB2">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 xml:space="preserve">2021. godine uplaćeno je </w:t>
      </w:r>
      <w:r w:rsidR="0066629F" w:rsidRPr="00F531E4">
        <w:rPr>
          <w:rFonts w:ascii="Times New Roman" w:hAnsi="Times New Roman"/>
        </w:rPr>
        <w:t>32.666,44 kn</w:t>
      </w:r>
    </w:p>
    <w:p w14:paraId="6102D9CE" w14:textId="77777777" w:rsidR="0066629F" w:rsidRPr="002A6861" w:rsidRDefault="008D4FB2" w:rsidP="008D4FB2">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 xml:space="preserve">2022. godine uplaćeno je </w:t>
      </w:r>
      <w:r w:rsidR="0066629F" w:rsidRPr="00F531E4">
        <w:rPr>
          <w:rFonts w:ascii="Times New Roman" w:hAnsi="Times New Roman"/>
        </w:rPr>
        <w:t>7.580,94 kn</w:t>
      </w:r>
    </w:p>
    <w:p w14:paraId="458898AD" w14:textId="280650AB" w:rsidR="002A6861" w:rsidRPr="002A6861" w:rsidRDefault="002A6861" w:rsidP="002A6861">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202</w:t>
      </w:r>
      <w:r>
        <w:rPr>
          <w:rFonts w:ascii="Times New Roman" w:hAnsi="Times New Roman"/>
        </w:rPr>
        <w:t>3</w:t>
      </w:r>
      <w:r w:rsidRPr="00F531E4">
        <w:rPr>
          <w:rFonts w:ascii="Times New Roman" w:hAnsi="Times New Roman"/>
        </w:rPr>
        <w:t xml:space="preserve">. godine uplaćeno je </w:t>
      </w:r>
      <w:r>
        <w:rPr>
          <w:rFonts w:ascii="Times New Roman" w:hAnsi="Times New Roman"/>
        </w:rPr>
        <w:t>1.364,64 EUR</w:t>
      </w:r>
    </w:p>
    <w:p w14:paraId="456AA773" w14:textId="1B6FDE6F" w:rsidR="00163FEE" w:rsidRPr="00F6722E" w:rsidRDefault="00677AB3" w:rsidP="00677AB3">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202</w:t>
      </w:r>
      <w:r>
        <w:rPr>
          <w:rFonts w:ascii="Times New Roman" w:hAnsi="Times New Roman"/>
        </w:rPr>
        <w:t>4</w:t>
      </w:r>
      <w:r w:rsidRPr="00F531E4">
        <w:rPr>
          <w:rFonts w:ascii="Times New Roman" w:hAnsi="Times New Roman"/>
        </w:rPr>
        <w:t xml:space="preserve">. godine uplaćeno je </w:t>
      </w:r>
      <w:r w:rsidR="008A6DD2">
        <w:rPr>
          <w:rFonts w:ascii="Times New Roman" w:hAnsi="Times New Roman"/>
        </w:rPr>
        <w:t>1.694,90</w:t>
      </w:r>
      <w:r>
        <w:rPr>
          <w:rFonts w:ascii="Times New Roman" w:hAnsi="Times New Roman"/>
        </w:rPr>
        <w:t xml:space="preserve"> EUR</w:t>
      </w:r>
    </w:p>
    <w:p w14:paraId="165A348C" w14:textId="0093F5B2" w:rsidR="00F6722E" w:rsidRPr="00677AB3" w:rsidRDefault="00F6722E" w:rsidP="00F6722E">
      <w:pPr>
        <w:pStyle w:val="ListParagraph"/>
        <w:numPr>
          <w:ilvl w:val="0"/>
          <w:numId w:val="14"/>
        </w:numPr>
        <w:autoSpaceDE w:val="0"/>
        <w:autoSpaceDN w:val="0"/>
        <w:adjustRightInd w:val="0"/>
        <w:spacing w:after="0" w:line="240" w:lineRule="auto"/>
        <w:jc w:val="both"/>
        <w:rPr>
          <w:rFonts w:ascii="Times New Roman" w:eastAsiaTheme="minorHAnsi" w:hAnsi="Times New Roman"/>
          <w:sz w:val="24"/>
          <w:szCs w:val="24"/>
          <w:lang w:eastAsia="en-US"/>
        </w:rPr>
      </w:pPr>
      <w:r w:rsidRPr="00F531E4">
        <w:rPr>
          <w:rFonts w:ascii="Times New Roman" w:hAnsi="Times New Roman"/>
        </w:rPr>
        <w:t>202</w:t>
      </w:r>
      <w:r>
        <w:rPr>
          <w:rFonts w:ascii="Times New Roman" w:hAnsi="Times New Roman"/>
        </w:rPr>
        <w:t>5</w:t>
      </w:r>
      <w:r w:rsidRPr="00F531E4">
        <w:rPr>
          <w:rFonts w:ascii="Times New Roman" w:hAnsi="Times New Roman"/>
        </w:rPr>
        <w:t xml:space="preserve">. godine uplaćeno je </w:t>
      </w:r>
      <w:r>
        <w:rPr>
          <w:rFonts w:ascii="Times New Roman" w:hAnsi="Times New Roman"/>
        </w:rPr>
        <w:t>1.347</w:t>
      </w:r>
      <w:r w:rsidR="00AF0DCE">
        <w:rPr>
          <w:rFonts w:ascii="Times New Roman" w:hAnsi="Times New Roman"/>
        </w:rPr>
        <w:t>,</w:t>
      </w:r>
      <w:r>
        <w:rPr>
          <w:rFonts w:ascii="Times New Roman" w:hAnsi="Times New Roman"/>
        </w:rPr>
        <w:t>72 EUR</w:t>
      </w:r>
      <w:r w:rsidRPr="00677AB3">
        <w:rPr>
          <w:rFonts w:ascii="Times New Roman" w:hAnsi="Times New Roman"/>
        </w:rPr>
        <w:t>.</w:t>
      </w:r>
    </w:p>
    <w:p w14:paraId="2DB51102" w14:textId="77777777" w:rsidR="00F6722E" w:rsidRPr="00677AB3" w:rsidRDefault="00F6722E" w:rsidP="00F6722E">
      <w:pPr>
        <w:pStyle w:val="ListParagraph"/>
        <w:autoSpaceDE w:val="0"/>
        <w:autoSpaceDN w:val="0"/>
        <w:adjustRightInd w:val="0"/>
        <w:spacing w:after="0" w:line="240" w:lineRule="auto"/>
        <w:ind w:left="768"/>
        <w:jc w:val="both"/>
        <w:rPr>
          <w:rFonts w:ascii="Times New Roman" w:eastAsiaTheme="minorHAnsi" w:hAnsi="Times New Roman"/>
          <w:sz w:val="24"/>
          <w:szCs w:val="24"/>
          <w:lang w:eastAsia="en-US"/>
        </w:rPr>
      </w:pPr>
    </w:p>
    <w:p w14:paraId="2664B235" w14:textId="77777777" w:rsidR="007D3E89" w:rsidRPr="003E19C7" w:rsidRDefault="007D3E89" w:rsidP="007D3E89">
      <w:pPr>
        <w:autoSpaceDE w:val="0"/>
        <w:autoSpaceDN w:val="0"/>
        <w:adjustRightInd w:val="0"/>
        <w:spacing w:after="0" w:line="240" w:lineRule="auto"/>
        <w:jc w:val="both"/>
        <w:rPr>
          <w:rFonts w:ascii="Times New Roman" w:eastAsiaTheme="minorHAnsi" w:hAnsi="Times New Roman"/>
          <w:b/>
          <w:bCs/>
          <w:i/>
          <w:lang w:eastAsia="en-US"/>
        </w:rPr>
      </w:pPr>
      <w:r w:rsidRPr="003E19C7">
        <w:rPr>
          <w:rFonts w:ascii="Times New Roman" w:hAnsi="Times New Roman"/>
          <w:b/>
          <w:bCs/>
        </w:rPr>
        <w:t xml:space="preserve">Kredit kod </w:t>
      </w:r>
      <w:r>
        <w:rPr>
          <w:rFonts w:ascii="Times New Roman" w:hAnsi="Times New Roman"/>
          <w:b/>
          <w:bCs/>
        </w:rPr>
        <w:t>Z</w:t>
      </w:r>
      <w:r w:rsidRPr="003E19C7">
        <w:rPr>
          <w:rFonts w:ascii="Times New Roman" w:hAnsi="Times New Roman"/>
          <w:b/>
          <w:bCs/>
        </w:rPr>
        <w:t>agrebačke banke</w:t>
      </w:r>
      <w:r>
        <w:rPr>
          <w:rFonts w:ascii="Times New Roman" w:hAnsi="Times New Roman"/>
          <w:b/>
          <w:bCs/>
        </w:rPr>
        <w:t xml:space="preserve"> d.d.</w:t>
      </w:r>
    </w:p>
    <w:p w14:paraId="00154F55" w14:textId="77777777" w:rsidR="007D3E89" w:rsidRPr="003E19C7" w:rsidRDefault="007D3E89" w:rsidP="007D3E89">
      <w:pPr>
        <w:autoSpaceDE w:val="0"/>
        <w:autoSpaceDN w:val="0"/>
        <w:adjustRightInd w:val="0"/>
        <w:spacing w:after="0" w:line="240" w:lineRule="auto"/>
        <w:jc w:val="both"/>
        <w:rPr>
          <w:rFonts w:ascii="Times New Roman" w:eastAsiaTheme="minorHAnsi" w:hAnsi="Times New Roman"/>
          <w:lang w:eastAsia="en-US"/>
        </w:rPr>
      </w:pPr>
      <w:r w:rsidRPr="003E19C7">
        <w:rPr>
          <w:rFonts w:ascii="Times New Roman" w:eastAsiaTheme="minorHAnsi" w:hAnsi="Times New Roman"/>
          <w:bCs/>
          <w:iCs/>
          <w:lang w:eastAsia="en-US"/>
        </w:rPr>
        <w:t>Dana 07. srpnja 2014. godine sklopljen je Ugovor o dugoročnom kunskom kreditu s</w:t>
      </w:r>
      <w:r w:rsidRPr="003E19C7">
        <w:rPr>
          <w:rFonts w:ascii="Times New Roman" w:eastAsiaTheme="minorHAnsi" w:hAnsi="Times New Roman"/>
          <w:lang w:eastAsia="en-US"/>
        </w:rPr>
        <w:t xml:space="preserve"> Zagrebačkom bankom d.d. u iznosu od 3.500.000,00 kuna. Radi se o dugoročnom, kunskom, namjenskom kreditu za rekonstrukciju nerazvrstanih cesta “Bazjaki, Balini-Krajići, Lubiani-Balini, Škeri-Štelki, Kalegarići, Sv. Lu</w:t>
      </w:r>
      <w:r>
        <w:rPr>
          <w:rFonts w:ascii="Times New Roman" w:eastAsiaTheme="minorHAnsi" w:hAnsi="Times New Roman"/>
          <w:lang w:eastAsia="en-US"/>
        </w:rPr>
        <w:t>C</w:t>
      </w:r>
      <w:r w:rsidRPr="003E19C7">
        <w:rPr>
          <w:rFonts w:ascii="Times New Roman" w:eastAsiaTheme="minorHAnsi" w:hAnsi="Times New Roman"/>
          <w:lang w:eastAsia="en-US"/>
        </w:rPr>
        <w:t xml:space="preserve">ija-Jadroni-Šegalini (spoj Laganisi) u Općini Oprtalj putem IPARD Programa. </w:t>
      </w:r>
    </w:p>
    <w:p w14:paraId="4C912C92" w14:textId="542ACEFA" w:rsidR="007D3E89" w:rsidRDefault="007D3E89" w:rsidP="007D3E89">
      <w:pPr>
        <w:autoSpaceDE w:val="0"/>
        <w:autoSpaceDN w:val="0"/>
        <w:adjustRightInd w:val="0"/>
        <w:spacing w:after="0" w:line="240" w:lineRule="auto"/>
        <w:jc w:val="both"/>
        <w:rPr>
          <w:rFonts w:ascii="Times New Roman" w:eastAsiaTheme="minorHAnsi" w:hAnsi="Times New Roman"/>
          <w:lang w:eastAsia="en-US"/>
        </w:rPr>
      </w:pPr>
      <w:r w:rsidRPr="003E19C7">
        <w:rPr>
          <w:rFonts w:ascii="Times New Roman" w:eastAsiaTheme="minorHAnsi" w:hAnsi="Times New Roman"/>
          <w:lang w:eastAsia="en-US"/>
        </w:rPr>
        <w:t xml:space="preserve">Kredit je odobren uz redovnu fiksnu kamatnu stopu od 3,35%. Kamata se obračunava i naplaćuje tromjesečno. Rok otplate kredita je 120 mjeseci. U </w:t>
      </w:r>
      <w:r>
        <w:rPr>
          <w:rFonts w:ascii="Times New Roman" w:eastAsiaTheme="minorHAnsi" w:hAnsi="Times New Roman"/>
          <w:lang w:eastAsia="en-US"/>
        </w:rPr>
        <w:t>2025. godini</w:t>
      </w:r>
      <w:r w:rsidRPr="003E19C7">
        <w:rPr>
          <w:rFonts w:ascii="Times New Roman" w:eastAsiaTheme="minorHAnsi" w:hAnsi="Times New Roman"/>
          <w:lang w:eastAsia="en-US"/>
        </w:rPr>
        <w:t xml:space="preserve"> otplaćeno je ukupno </w:t>
      </w:r>
      <w:r>
        <w:rPr>
          <w:rFonts w:ascii="Times New Roman" w:eastAsiaTheme="minorHAnsi" w:hAnsi="Times New Roman"/>
          <w:lang w:eastAsia="en-US"/>
        </w:rPr>
        <w:t>5.727,25</w:t>
      </w:r>
      <w:r w:rsidRPr="003E19C7">
        <w:rPr>
          <w:rFonts w:ascii="Times New Roman" w:eastAsiaTheme="minorHAnsi" w:hAnsi="Times New Roman"/>
          <w:lang w:eastAsia="en-US"/>
        </w:rPr>
        <w:t xml:space="preserve"> EUR glavnice i </w:t>
      </w:r>
      <w:r>
        <w:rPr>
          <w:rFonts w:ascii="Times New Roman" w:eastAsiaTheme="minorHAnsi" w:hAnsi="Times New Roman"/>
          <w:lang w:eastAsia="en-US"/>
        </w:rPr>
        <w:t>47,30</w:t>
      </w:r>
      <w:r w:rsidRPr="003E19C7">
        <w:rPr>
          <w:rFonts w:ascii="Times New Roman" w:eastAsiaTheme="minorHAnsi" w:hAnsi="Times New Roman"/>
          <w:lang w:eastAsia="en-US"/>
        </w:rPr>
        <w:t xml:space="preserve"> EUR kamata.</w:t>
      </w:r>
      <w:r>
        <w:rPr>
          <w:rFonts w:ascii="Times New Roman" w:eastAsiaTheme="minorHAnsi" w:hAnsi="Times New Roman"/>
          <w:lang w:eastAsia="en-US"/>
        </w:rPr>
        <w:t xml:space="preserve"> Kredit je u potpunosti otplaćen.</w:t>
      </w:r>
    </w:p>
    <w:p w14:paraId="7867BBD2" w14:textId="77777777" w:rsidR="007D3E89" w:rsidRDefault="007D3E89" w:rsidP="007D3E89">
      <w:pPr>
        <w:autoSpaceDE w:val="0"/>
        <w:autoSpaceDN w:val="0"/>
        <w:adjustRightInd w:val="0"/>
        <w:spacing w:after="0" w:line="240" w:lineRule="auto"/>
        <w:jc w:val="both"/>
        <w:rPr>
          <w:rFonts w:ascii="Times New Roman" w:eastAsiaTheme="minorHAnsi" w:hAnsi="Times New Roman"/>
          <w:lang w:eastAsia="en-US"/>
        </w:rPr>
      </w:pPr>
    </w:p>
    <w:p w14:paraId="3E9D6C83" w14:textId="77777777" w:rsidR="007D3E89" w:rsidRPr="00050EF9" w:rsidRDefault="007D3E89" w:rsidP="007D3E89">
      <w:pPr>
        <w:autoSpaceDE w:val="0"/>
        <w:autoSpaceDN w:val="0"/>
        <w:adjustRightInd w:val="0"/>
        <w:spacing w:after="0" w:line="240" w:lineRule="auto"/>
        <w:jc w:val="both"/>
        <w:rPr>
          <w:rFonts w:ascii="Times New Roman" w:eastAsiaTheme="minorHAnsi" w:hAnsi="Times New Roman"/>
          <w:b/>
          <w:bCs/>
          <w:lang w:eastAsia="en-US"/>
        </w:rPr>
      </w:pPr>
      <w:r w:rsidRPr="00050EF9">
        <w:rPr>
          <w:rFonts w:ascii="Times New Roman" w:eastAsiaTheme="minorHAnsi" w:hAnsi="Times New Roman"/>
          <w:b/>
          <w:bCs/>
          <w:lang w:eastAsia="en-US"/>
        </w:rPr>
        <w:t>Robni kredit</w:t>
      </w:r>
    </w:p>
    <w:p w14:paraId="3858B5EE" w14:textId="2BDFC819" w:rsidR="007D3E89" w:rsidRDefault="007D3E89" w:rsidP="007D3E89">
      <w:pPr>
        <w:autoSpaceDE w:val="0"/>
        <w:autoSpaceDN w:val="0"/>
        <w:adjustRightInd w:val="0"/>
        <w:spacing w:after="0" w:line="240" w:lineRule="auto"/>
        <w:jc w:val="both"/>
        <w:rPr>
          <w:rFonts w:ascii="Times New Roman" w:eastAsiaTheme="minorHAnsi" w:hAnsi="Times New Roman"/>
          <w:lang w:eastAsia="en-US"/>
        </w:rPr>
      </w:pPr>
      <w:r>
        <w:rPr>
          <w:rFonts w:ascii="Times New Roman" w:eastAsiaTheme="minorHAnsi" w:hAnsi="Times New Roman"/>
          <w:lang w:eastAsia="en-US"/>
        </w:rPr>
        <w:t xml:space="preserve">U izvještajnom razdoblju tekuće godine izvršeno je ukupno 4.156,55 EUR izdataka za otplatu robnih zajmova od trgovačkih društava izvan javnog sektora. Radi se o nabavi tableta </w:t>
      </w:r>
      <w:r w:rsidR="00412D86">
        <w:rPr>
          <w:rFonts w:ascii="Times New Roman" w:eastAsiaTheme="minorHAnsi" w:hAnsi="Times New Roman"/>
          <w:lang w:eastAsia="en-US"/>
        </w:rPr>
        <w:t xml:space="preserve">i telefonskog uređaja </w:t>
      </w:r>
      <w:r>
        <w:rPr>
          <w:rFonts w:ascii="Times New Roman" w:eastAsiaTheme="minorHAnsi" w:hAnsi="Times New Roman"/>
          <w:lang w:eastAsia="en-US"/>
        </w:rPr>
        <w:t>na rate za potrebe rada u Jedinstvenom upravnom odjelu</w:t>
      </w:r>
      <w:r w:rsidR="00412D86">
        <w:rPr>
          <w:rFonts w:ascii="Times New Roman" w:eastAsiaTheme="minorHAnsi" w:hAnsi="Times New Roman"/>
          <w:lang w:eastAsia="en-US"/>
        </w:rPr>
        <w:t>, te ulaganja u poslovni prostor od strane zakupoprimca</w:t>
      </w:r>
      <w:r>
        <w:rPr>
          <w:rFonts w:ascii="Times New Roman" w:eastAsiaTheme="minorHAnsi" w:hAnsi="Times New Roman"/>
          <w:lang w:eastAsia="en-US"/>
        </w:rPr>
        <w:t>.</w:t>
      </w:r>
    </w:p>
    <w:p w14:paraId="3E484B38" w14:textId="77777777" w:rsidR="007D3E89" w:rsidRDefault="007D3E89" w:rsidP="007D3E89">
      <w:pPr>
        <w:autoSpaceDE w:val="0"/>
        <w:autoSpaceDN w:val="0"/>
        <w:adjustRightInd w:val="0"/>
        <w:spacing w:after="0" w:line="240" w:lineRule="auto"/>
        <w:jc w:val="both"/>
        <w:rPr>
          <w:rFonts w:ascii="Times New Roman" w:eastAsiaTheme="minorHAnsi" w:hAnsi="Times New Roman"/>
          <w:lang w:eastAsia="en-US"/>
        </w:rPr>
      </w:pPr>
    </w:p>
    <w:p w14:paraId="0887AD6B" w14:textId="5F0CF087" w:rsidR="00C90936" w:rsidRPr="00F531E4" w:rsidRDefault="0069015A" w:rsidP="00C90936">
      <w:pPr>
        <w:shd w:val="clear" w:color="auto" w:fill="DBE5F1" w:themeFill="accent1" w:themeFillTint="33"/>
        <w:spacing w:after="0" w:line="240" w:lineRule="auto"/>
        <w:jc w:val="both"/>
        <w:rPr>
          <w:rFonts w:ascii="Times New Roman" w:hAnsi="Times New Roman"/>
          <w:b/>
          <w:bCs/>
        </w:rPr>
      </w:pPr>
      <w:r>
        <w:rPr>
          <w:rFonts w:ascii="Times New Roman" w:hAnsi="Times New Roman"/>
          <w:b/>
          <w:bCs/>
        </w:rPr>
        <w:lastRenderedPageBreak/>
        <w:t>2</w:t>
      </w:r>
      <w:r w:rsidR="00C90936" w:rsidRPr="000A7169">
        <w:rPr>
          <w:rFonts w:ascii="Times New Roman" w:hAnsi="Times New Roman"/>
          <w:b/>
          <w:bCs/>
        </w:rPr>
        <w:t>.1.</w:t>
      </w:r>
      <w:r w:rsidR="00C90936">
        <w:rPr>
          <w:rFonts w:ascii="Times New Roman" w:hAnsi="Times New Roman"/>
          <w:b/>
          <w:bCs/>
        </w:rPr>
        <w:t>3</w:t>
      </w:r>
      <w:r w:rsidR="00C90936" w:rsidRPr="000A7169">
        <w:rPr>
          <w:rFonts w:ascii="Times New Roman" w:hAnsi="Times New Roman"/>
          <w:b/>
          <w:bCs/>
        </w:rPr>
        <w:t>.</w:t>
      </w:r>
      <w:r w:rsidR="00C90936">
        <w:rPr>
          <w:rFonts w:ascii="Times New Roman" w:hAnsi="Times New Roman"/>
          <w:b/>
          <w:bCs/>
        </w:rPr>
        <w:t xml:space="preserve"> Prikaz ostvarenog viška</w:t>
      </w:r>
    </w:p>
    <w:p w14:paraId="5814A7A1" w14:textId="77777777" w:rsidR="00BA06D2" w:rsidRDefault="00BA06D2" w:rsidP="009E28D6">
      <w:pPr>
        <w:spacing w:after="0" w:line="240" w:lineRule="auto"/>
        <w:ind w:right="70"/>
        <w:jc w:val="both"/>
        <w:rPr>
          <w:rFonts w:ascii="Times New Roman" w:hAnsi="Times New Roman"/>
          <w:sz w:val="24"/>
          <w:szCs w:val="24"/>
        </w:rPr>
      </w:pPr>
    </w:p>
    <w:p w14:paraId="38D15C7F" w14:textId="75F2486A" w:rsidR="0060060E" w:rsidRPr="0069015A" w:rsidRDefault="0060060E" w:rsidP="0060060E">
      <w:pPr>
        <w:pStyle w:val="Standard"/>
        <w:jc w:val="both"/>
        <w:rPr>
          <w:rFonts w:cs="Times New Roman"/>
          <w:b/>
          <w:sz w:val="22"/>
          <w:szCs w:val="22"/>
          <w:u w:val="single"/>
        </w:rPr>
      </w:pPr>
      <w:r w:rsidRPr="0069015A">
        <w:rPr>
          <w:rFonts w:cs="Times New Roman"/>
          <w:sz w:val="22"/>
          <w:szCs w:val="22"/>
        </w:rPr>
        <w:t xml:space="preserve">U </w:t>
      </w:r>
      <w:r w:rsidR="0069015A" w:rsidRPr="0069015A">
        <w:rPr>
          <w:rFonts w:cs="Times New Roman"/>
          <w:sz w:val="22"/>
          <w:szCs w:val="22"/>
        </w:rPr>
        <w:t xml:space="preserve">periodu od 01. siječnja do </w:t>
      </w:r>
      <w:r w:rsidR="00FE5725">
        <w:rPr>
          <w:rFonts w:cs="Times New Roman"/>
          <w:sz w:val="22"/>
          <w:szCs w:val="22"/>
        </w:rPr>
        <w:t>31. prosinca</w:t>
      </w:r>
      <w:r w:rsidRPr="0069015A">
        <w:rPr>
          <w:rFonts w:cs="Times New Roman"/>
          <w:sz w:val="22"/>
          <w:szCs w:val="22"/>
        </w:rPr>
        <w:t xml:space="preserve"> 202</w:t>
      </w:r>
      <w:r w:rsidR="001870D6">
        <w:rPr>
          <w:rFonts w:cs="Times New Roman"/>
          <w:sz w:val="22"/>
          <w:szCs w:val="22"/>
        </w:rPr>
        <w:t>5</w:t>
      </w:r>
      <w:r w:rsidRPr="0069015A">
        <w:rPr>
          <w:rFonts w:cs="Times New Roman"/>
          <w:sz w:val="22"/>
          <w:szCs w:val="22"/>
        </w:rPr>
        <w:t xml:space="preserve">. godine Općina Oprtalj ostvarila je </w:t>
      </w:r>
      <w:r w:rsidR="00BD6FEA">
        <w:rPr>
          <w:rFonts w:cs="Times New Roman"/>
          <w:sz w:val="22"/>
          <w:szCs w:val="22"/>
        </w:rPr>
        <w:t>manjak</w:t>
      </w:r>
      <w:r w:rsidRPr="0069015A">
        <w:rPr>
          <w:rFonts w:cs="Times New Roman"/>
          <w:sz w:val="22"/>
          <w:szCs w:val="22"/>
        </w:rPr>
        <w:t xml:space="preserve"> prihoda i primitaka nad rashodima i izdacima u iznosu od </w:t>
      </w:r>
      <w:r w:rsidR="00BD6FEA">
        <w:rPr>
          <w:rFonts w:cs="Times New Roman"/>
          <w:sz w:val="22"/>
          <w:szCs w:val="22"/>
        </w:rPr>
        <w:t>9.317,07</w:t>
      </w:r>
      <w:r w:rsidRPr="0069015A">
        <w:rPr>
          <w:rFonts w:cs="Times New Roman"/>
          <w:sz w:val="22"/>
          <w:szCs w:val="22"/>
        </w:rPr>
        <w:t xml:space="preserve"> EUR. Preneseni višak prihoda i primitaka iz 202</w:t>
      </w:r>
      <w:r w:rsidR="00FE5725">
        <w:rPr>
          <w:rFonts w:cs="Times New Roman"/>
          <w:sz w:val="22"/>
          <w:szCs w:val="22"/>
        </w:rPr>
        <w:t>4</w:t>
      </w:r>
      <w:r w:rsidRPr="0069015A">
        <w:rPr>
          <w:rFonts w:cs="Times New Roman"/>
          <w:sz w:val="22"/>
          <w:szCs w:val="22"/>
        </w:rPr>
        <w:t xml:space="preserve">. i prethodnih godina iznosi </w:t>
      </w:r>
      <w:r w:rsidR="00BD6FEA">
        <w:rPr>
          <w:rFonts w:cs="Times New Roman"/>
          <w:sz w:val="22"/>
          <w:szCs w:val="22"/>
        </w:rPr>
        <w:t>474.284,03</w:t>
      </w:r>
      <w:r w:rsidRPr="0069015A">
        <w:rPr>
          <w:rFonts w:cs="Times New Roman"/>
          <w:sz w:val="22"/>
          <w:szCs w:val="22"/>
        </w:rPr>
        <w:t xml:space="preserve"> EUR tako da ukupni višak prihoda i primitaka na dan </w:t>
      </w:r>
      <w:r w:rsidR="00FE5725">
        <w:rPr>
          <w:rFonts w:cs="Times New Roman"/>
          <w:sz w:val="22"/>
          <w:szCs w:val="22"/>
        </w:rPr>
        <w:t>01. si</w:t>
      </w:r>
      <w:r w:rsidR="001870D6">
        <w:rPr>
          <w:rFonts w:cs="Times New Roman"/>
          <w:sz w:val="22"/>
          <w:szCs w:val="22"/>
        </w:rPr>
        <w:t>ječnja 2026</w:t>
      </w:r>
      <w:r w:rsidRPr="0069015A">
        <w:rPr>
          <w:rFonts w:cs="Times New Roman"/>
          <w:sz w:val="22"/>
          <w:szCs w:val="22"/>
        </w:rPr>
        <w:t xml:space="preserve">. godine iznosi </w:t>
      </w:r>
      <w:r w:rsidR="00BD6FEA">
        <w:rPr>
          <w:rFonts w:cs="Times New Roman"/>
          <w:b/>
          <w:bCs/>
          <w:sz w:val="22"/>
          <w:szCs w:val="22"/>
        </w:rPr>
        <w:t>464.966,97 EUR</w:t>
      </w:r>
      <w:r w:rsidRPr="0069015A">
        <w:rPr>
          <w:rFonts w:cs="Times New Roman"/>
          <w:b/>
          <w:bCs/>
          <w:sz w:val="22"/>
          <w:szCs w:val="22"/>
        </w:rPr>
        <w:t>.</w:t>
      </w:r>
    </w:p>
    <w:p w14:paraId="75C47212" w14:textId="77777777" w:rsidR="00C90936" w:rsidRDefault="00C90936" w:rsidP="009E28D6">
      <w:pPr>
        <w:spacing w:after="0" w:line="240" w:lineRule="auto"/>
        <w:ind w:right="70"/>
        <w:jc w:val="both"/>
        <w:rPr>
          <w:rFonts w:ascii="Times New Roman" w:hAnsi="Times New Roman"/>
          <w:b/>
          <w:bCs/>
        </w:rPr>
      </w:pPr>
    </w:p>
    <w:p w14:paraId="0C591FD1" w14:textId="77777777" w:rsidR="00BA06D2" w:rsidRDefault="00C90936" w:rsidP="009E28D6">
      <w:pPr>
        <w:spacing w:after="0" w:line="240" w:lineRule="auto"/>
        <w:ind w:right="70"/>
        <w:jc w:val="both"/>
        <w:rPr>
          <w:rFonts w:ascii="Times New Roman" w:hAnsi="Times New Roman"/>
        </w:rPr>
      </w:pPr>
      <w:r w:rsidRPr="00C90936">
        <w:rPr>
          <w:rFonts w:ascii="Times New Roman" w:hAnsi="Times New Roman"/>
          <w:b/>
          <w:bCs/>
        </w:rPr>
        <w:t>Tablica broj 5:</w:t>
      </w:r>
      <w:r w:rsidRPr="00C90936">
        <w:rPr>
          <w:rFonts w:ascii="Times New Roman" w:hAnsi="Times New Roman"/>
        </w:rPr>
        <w:t xml:space="preserve"> Ostvareni višak proračuna u izvještajnom razdoblju</w:t>
      </w:r>
    </w:p>
    <w:p w14:paraId="2E1177BB" w14:textId="77777777" w:rsidR="003B41A4" w:rsidRPr="00C90936" w:rsidRDefault="003B41A4" w:rsidP="009E28D6">
      <w:pPr>
        <w:spacing w:after="0" w:line="240" w:lineRule="auto"/>
        <w:ind w:right="70"/>
        <w:jc w:val="both"/>
        <w:rPr>
          <w:rFonts w:ascii="Times New Roman" w:hAnsi="Times New Roman"/>
          <w:sz w:val="24"/>
          <w:szCs w:val="24"/>
        </w:rPr>
      </w:pPr>
    </w:p>
    <w:p w14:paraId="52265164" w14:textId="2BF2347A" w:rsidR="00BA06D2" w:rsidRDefault="001870D6" w:rsidP="001870D6">
      <w:pPr>
        <w:spacing w:after="0" w:line="240" w:lineRule="auto"/>
        <w:ind w:right="70"/>
        <w:jc w:val="center"/>
        <w:rPr>
          <w:rFonts w:ascii="Times New Roman" w:hAnsi="Times New Roman"/>
          <w:sz w:val="24"/>
          <w:szCs w:val="24"/>
        </w:rPr>
      </w:pPr>
      <w:r w:rsidRPr="001870D6">
        <w:rPr>
          <w:rFonts w:ascii="Times New Roman" w:hAnsi="Times New Roman"/>
          <w:noProof/>
          <w:sz w:val="24"/>
          <w:szCs w:val="24"/>
        </w:rPr>
        <w:drawing>
          <wp:inline distT="0" distB="0" distL="0" distR="0" wp14:anchorId="05D3EB90" wp14:editId="68435755">
            <wp:extent cx="5723629"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8225" cy="3897281"/>
                    </a:xfrm>
                    <a:prstGeom prst="rect">
                      <a:avLst/>
                    </a:prstGeom>
                  </pic:spPr>
                </pic:pic>
              </a:graphicData>
            </a:graphic>
          </wp:inline>
        </w:drawing>
      </w:r>
    </w:p>
    <w:p w14:paraId="523213A0" w14:textId="77777777" w:rsidR="00BA06D2" w:rsidRDefault="00BA06D2" w:rsidP="009E28D6">
      <w:pPr>
        <w:spacing w:after="0" w:line="240" w:lineRule="auto"/>
        <w:ind w:right="70"/>
        <w:jc w:val="both"/>
        <w:rPr>
          <w:rFonts w:ascii="Times New Roman" w:hAnsi="Times New Roman"/>
          <w:sz w:val="24"/>
          <w:szCs w:val="24"/>
        </w:rPr>
      </w:pPr>
    </w:p>
    <w:p w14:paraId="30520B1A" w14:textId="4D13A1F3" w:rsidR="007A455C" w:rsidRPr="00412D86" w:rsidRDefault="007A455C" w:rsidP="007A455C">
      <w:pPr>
        <w:spacing w:after="0" w:line="240" w:lineRule="auto"/>
        <w:jc w:val="both"/>
        <w:rPr>
          <w:rFonts w:ascii="Times New Roman" w:hAnsi="Times New Roman"/>
        </w:rPr>
      </w:pPr>
      <w:r w:rsidRPr="00412D86">
        <w:rPr>
          <w:rFonts w:ascii="Times New Roman" w:hAnsi="Times New Roman"/>
        </w:rPr>
        <w:t>Struktura viška prihoda u iznosu od 464.966,97 EUR sastoji se od slijedećih izvora financiranja:</w:t>
      </w:r>
    </w:p>
    <w:p w14:paraId="5680B212" w14:textId="77777777" w:rsidR="007A455C" w:rsidRDefault="007A455C" w:rsidP="007A455C">
      <w:pPr>
        <w:spacing w:after="0" w:line="240" w:lineRule="auto"/>
        <w:jc w:val="both"/>
        <w:rPr>
          <w:rFonts w:ascii="Times New Roman" w:hAnsi="Times New Roman"/>
          <w:sz w:val="24"/>
          <w:szCs w:val="24"/>
        </w:rPr>
      </w:pPr>
    </w:p>
    <w:tbl>
      <w:tblPr>
        <w:tblStyle w:val="TableGrid"/>
        <w:tblW w:w="8980" w:type="dxa"/>
        <w:jc w:val="center"/>
        <w:tblLook w:val="04A0" w:firstRow="1" w:lastRow="0" w:firstColumn="1" w:lastColumn="0" w:noHBand="0" w:noVBand="1"/>
      </w:tblPr>
      <w:tblGrid>
        <w:gridCol w:w="6706"/>
        <w:gridCol w:w="2274"/>
      </w:tblGrid>
      <w:tr w:rsidR="007A455C" w:rsidRPr="007A455C" w14:paraId="43EDE9FA" w14:textId="77777777" w:rsidTr="007A455C">
        <w:trPr>
          <w:trHeight w:val="353"/>
          <w:jc w:val="center"/>
        </w:trPr>
        <w:tc>
          <w:tcPr>
            <w:tcW w:w="6706" w:type="dxa"/>
          </w:tcPr>
          <w:p w14:paraId="223C3D46" w14:textId="77777777" w:rsidR="007A455C" w:rsidRPr="007A455C" w:rsidRDefault="007A455C" w:rsidP="00EC22B6">
            <w:pPr>
              <w:jc w:val="both"/>
              <w:rPr>
                <w:rFonts w:ascii="Times New Roman" w:hAnsi="Times New Roman"/>
              </w:rPr>
            </w:pPr>
            <w:r w:rsidRPr="007A455C">
              <w:rPr>
                <w:rFonts w:ascii="Times New Roman" w:hAnsi="Times New Roman"/>
              </w:rPr>
              <w:t>Višak iz izvora pomoći</w:t>
            </w:r>
          </w:p>
        </w:tc>
        <w:tc>
          <w:tcPr>
            <w:tcW w:w="2274" w:type="dxa"/>
          </w:tcPr>
          <w:p w14:paraId="7C076D02" w14:textId="77777777" w:rsidR="007A455C" w:rsidRPr="007A455C" w:rsidRDefault="007A455C" w:rsidP="00EC22B6">
            <w:pPr>
              <w:jc w:val="right"/>
              <w:rPr>
                <w:rFonts w:ascii="Times New Roman" w:hAnsi="Times New Roman"/>
              </w:rPr>
            </w:pPr>
            <w:r w:rsidRPr="007A455C">
              <w:rPr>
                <w:rFonts w:ascii="Times New Roman" w:hAnsi="Times New Roman"/>
              </w:rPr>
              <w:t xml:space="preserve"> 62.175,48</w:t>
            </w:r>
          </w:p>
        </w:tc>
      </w:tr>
      <w:tr w:rsidR="007A455C" w:rsidRPr="007A455C" w14:paraId="50FDFE17" w14:textId="77777777" w:rsidTr="007A455C">
        <w:trPr>
          <w:trHeight w:val="353"/>
          <w:jc w:val="center"/>
        </w:trPr>
        <w:tc>
          <w:tcPr>
            <w:tcW w:w="6706" w:type="dxa"/>
          </w:tcPr>
          <w:p w14:paraId="1935E63A" w14:textId="77777777" w:rsidR="007A455C" w:rsidRPr="007A455C" w:rsidRDefault="007A455C" w:rsidP="00EC22B6">
            <w:pPr>
              <w:jc w:val="both"/>
              <w:rPr>
                <w:rFonts w:ascii="Times New Roman" w:hAnsi="Times New Roman"/>
              </w:rPr>
            </w:pPr>
            <w:r w:rsidRPr="007A455C">
              <w:rPr>
                <w:rFonts w:ascii="Times New Roman" w:hAnsi="Times New Roman"/>
              </w:rPr>
              <w:t>Višak iz izvora donacija</w:t>
            </w:r>
          </w:p>
        </w:tc>
        <w:tc>
          <w:tcPr>
            <w:tcW w:w="2274" w:type="dxa"/>
          </w:tcPr>
          <w:p w14:paraId="43CE00B5" w14:textId="77777777" w:rsidR="007A455C" w:rsidRPr="007A455C" w:rsidRDefault="007A455C" w:rsidP="00EC22B6">
            <w:pPr>
              <w:jc w:val="right"/>
              <w:rPr>
                <w:rFonts w:ascii="Times New Roman" w:hAnsi="Times New Roman"/>
              </w:rPr>
            </w:pPr>
            <w:r w:rsidRPr="007A455C">
              <w:rPr>
                <w:rFonts w:ascii="Times New Roman" w:hAnsi="Times New Roman"/>
              </w:rPr>
              <w:t>8.295,89</w:t>
            </w:r>
          </w:p>
        </w:tc>
      </w:tr>
      <w:tr w:rsidR="007A455C" w:rsidRPr="007A455C" w14:paraId="744CA7BB" w14:textId="77777777" w:rsidTr="007A455C">
        <w:trPr>
          <w:trHeight w:val="353"/>
          <w:jc w:val="center"/>
        </w:trPr>
        <w:tc>
          <w:tcPr>
            <w:tcW w:w="6706" w:type="dxa"/>
          </w:tcPr>
          <w:p w14:paraId="3B098622" w14:textId="77777777" w:rsidR="007A455C" w:rsidRPr="007A455C" w:rsidRDefault="007A455C" w:rsidP="00EC22B6">
            <w:pPr>
              <w:jc w:val="both"/>
              <w:rPr>
                <w:rFonts w:ascii="Times New Roman" w:hAnsi="Times New Roman"/>
              </w:rPr>
            </w:pPr>
            <w:r w:rsidRPr="007A455C">
              <w:rPr>
                <w:rFonts w:ascii="Times New Roman" w:hAnsi="Times New Roman"/>
              </w:rPr>
              <w:t>Višak iz izvora prihoda po posebnim propisima</w:t>
            </w:r>
          </w:p>
        </w:tc>
        <w:tc>
          <w:tcPr>
            <w:tcW w:w="2274" w:type="dxa"/>
          </w:tcPr>
          <w:p w14:paraId="776B8EA8" w14:textId="77777777" w:rsidR="007A455C" w:rsidRPr="007A455C" w:rsidRDefault="007A455C" w:rsidP="00EC22B6">
            <w:pPr>
              <w:jc w:val="right"/>
              <w:rPr>
                <w:rFonts w:ascii="Times New Roman" w:hAnsi="Times New Roman"/>
              </w:rPr>
            </w:pPr>
            <w:r w:rsidRPr="007A455C">
              <w:rPr>
                <w:rFonts w:ascii="Times New Roman" w:hAnsi="Times New Roman"/>
              </w:rPr>
              <w:t>222.664,23</w:t>
            </w:r>
          </w:p>
        </w:tc>
      </w:tr>
      <w:tr w:rsidR="007A455C" w:rsidRPr="007A455C" w14:paraId="1443D13B" w14:textId="77777777" w:rsidTr="007A455C">
        <w:trPr>
          <w:trHeight w:val="353"/>
          <w:jc w:val="center"/>
        </w:trPr>
        <w:tc>
          <w:tcPr>
            <w:tcW w:w="6706" w:type="dxa"/>
          </w:tcPr>
          <w:p w14:paraId="3BCBB5EF" w14:textId="77777777" w:rsidR="007A455C" w:rsidRPr="007A455C" w:rsidRDefault="007A455C" w:rsidP="00EC22B6">
            <w:pPr>
              <w:jc w:val="both"/>
              <w:rPr>
                <w:rFonts w:ascii="Times New Roman" w:hAnsi="Times New Roman"/>
              </w:rPr>
            </w:pPr>
            <w:r w:rsidRPr="007A455C">
              <w:rPr>
                <w:rFonts w:ascii="Times New Roman" w:hAnsi="Times New Roman"/>
              </w:rPr>
              <w:t>Višak iz izvora općih prihoda i primitaka</w:t>
            </w:r>
          </w:p>
        </w:tc>
        <w:tc>
          <w:tcPr>
            <w:tcW w:w="2274" w:type="dxa"/>
          </w:tcPr>
          <w:p w14:paraId="110F5530" w14:textId="77777777" w:rsidR="007A455C" w:rsidRPr="007A455C" w:rsidRDefault="007A455C" w:rsidP="00EC22B6">
            <w:pPr>
              <w:jc w:val="right"/>
              <w:rPr>
                <w:rFonts w:ascii="Times New Roman" w:hAnsi="Times New Roman"/>
              </w:rPr>
            </w:pPr>
            <w:r w:rsidRPr="007A455C">
              <w:rPr>
                <w:rFonts w:ascii="Times New Roman" w:hAnsi="Times New Roman"/>
              </w:rPr>
              <w:t>23.344,93</w:t>
            </w:r>
          </w:p>
        </w:tc>
      </w:tr>
      <w:tr w:rsidR="007A455C" w:rsidRPr="007A455C" w14:paraId="380037CA" w14:textId="77777777" w:rsidTr="007A455C">
        <w:trPr>
          <w:trHeight w:val="353"/>
          <w:jc w:val="center"/>
        </w:trPr>
        <w:tc>
          <w:tcPr>
            <w:tcW w:w="6706" w:type="dxa"/>
          </w:tcPr>
          <w:p w14:paraId="08BE8028" w14:textId="77777777" w:rsidR="007A455C" w:rsidRPr="007A455C" w:rsidRDefault="007A455C" w:rsidP="00EC22B6">
            <w:pPr>
              <w:jc w:val="both"/>
              <w:rPr>
                <w:rFonts w:ascii="Times New Roman" w:hAnsi="Times New Roman"/>
              </w:rPr>
            </w:pPr>
            <w:r w:rsidRPr="007A455C">
              <w:rPr>
                <w:rFonts w:ascii="Times New Roman" w:hAnsi="Times New Roman"/>
              </w:rPr>
              <w:t>Višak iz izvora prihoda od prodaje nefinancijske imovine</w:t>
            </w:r>
          </w:p>
        </w:tc>
        <w:tc>
          <w:tcPr>
            <w:tcW w:w="2274" w:type="dxa"/>
          </w:tcPr>
          <w:p w14:paraId="0F472918" w14:textId="77777777" w:rsidR="007A455C" w:rsidRPr="007A455C" w:rsidRDefault="007A455C" w:rsidP="00EC22B6">
            <w:pPr>
              <w:jc w:val="right"/>
              <w:rPr>
                <w:rFonts w:ascii="Times New Roman" w:hAnsi="Times New Roman"/>
              </w:rPr>
            </w:pPr>
            <w:r w:rsidRPr="007A455C">
              <w:rPr>
                <w:rFonts w:ascii="Times New Roman" w:hAnsi="Times New Roman"/>
              </w:rPr>
              <w:t>148.486,44</w:t>
            </w:r>
          </w:p>
        </w:tc>
      </w:tr>
      <w:tr w:rsidR="007A455C" w:rsidRPr="007A455C" w14:paraId="1B0ED37F" w14:textId="77777777" w:rsidTr="007A455C">
        <w:trPr>
          <w:trHeight w:val="353"/>
          <w:jc w:val="center"/>
        </w:trPr>
        <w:tc>
          <w:tcPr>
            <w:tcW w:w="6706" w:type="dxa"/>
          </w:tcPr>
          <w:p w14:paraId="7B691174" w14:textId="0156AA69" w:rsidR="007A455C" w:rsidRPr="007A455C" w:rsidRDefault="004011B1" w:rsidP="00EC22B6">
            <w:pPr>
              <w:jc w:val="both"/>
              <w:rPr>
                <w:rFonts w:ascii="Times New Roman" w:hAnsi="Times New Roman"/>
                <w:b/>
                <w:bCs/>
              </w:rPr>
            </w:pPr>
            <w:r>
              <w:rPr>
                <w:rFonts w:ascii="Times New Roman" w:hAnsi="Times New Roman"/>
                <w:b/>
                <w:bCs/>
              </w:rPr>
              <w:t>Ukupan višak</w:t>
            </w:r>
          </w:p>
        </w:tc>
        <w:tc>
          <w:tcPr>
            <w:tcW w:w="2274" w:type="dxa"/>
          </w:tcPr>
          <w:p w14:paraId="08CF7D84" w14:textId="77777777" w:rsidR="007A455C" w:rsidRPr="007A455C" w:rsidRDefault="007A455C" w:rsidP="00EC22B6">
            <w:pPr>
              <w:jc w:val="right"/>
              <w:rPr>
                <w:rFonts w:ascii="Times New Roman" w:hAnsi="Times New Roman"/>
                <w:b/>
                <w:bCs/>
              </w:rPr>
            </w:pPr>
            <w:r w:rsidRPr="007A455C">
              <w:rPr>
                <w:rFonts w:ascii="Times New Roman" w:hAnsi="Times New Roman"/>
                <w:b/>
                <w:bCs/>
              </w:rPr>
              <w:t>464.966,97</w:t>
            </w:r>
          </w:p>
        </w:tc>
      </w:tr>
    </w:tbl>
    <w:p w14:paraId="22D47EDD" w14:textId="77777777" w:rsidR="007A455C" w:rsidRDefault="007A455C" w:rsidP="007A455C">
      <w:pPr>
        <w:spacing w:after="0" w:line="240" w:lineRule="auto"/>
        <w:jc w:val="both"/>
        <w:rPr>
          <w:rFonts w:ascii="Times New Roman" w:hAnsi="Times New Roman"/>
          <w:sz w:val="24"/>
          <w:szCs w:val="24"/>
        </w:rPr>
      </w:pPr>
    </w:p>
    <w:p w14:paraId="5652CAF8" w14:textId="77777777" w:rsidR="007A455C" w:rsidRDefault="007A455C" w:rsidP="007A455C">
      <w:pPr>
        <w:spacing w:after="0" w:line="240" w:lineRule="auto"/>
        <w:jc w:val="both"/>
        <w:rPr>
          <w:rFonts w:ascii="Times New Roman" w:hAnsi="Times New Roman"/>
          <w:sz w:val="24"/>
          <w:szCs w:val="24"/>
        </w:rPr>
      </w:pPr>
    </w:p>
    <w:p w14:paraId="008D36FC" w14:textId="77777777" w:rsidR="00412D86" w:rsidRDefault="00412D86" w:rsidP="007A455C">
      <w:pPr>
        <w:spacing w:after="0" w:line="240" w:lineRule="auto"/>
        <w:jc w:val="both"/>
        <w:rPr>
          <w:rFonts w:ascii="Times New Roman" w:hAnsi="Times New Roman"/>
          <w:sz w:val="24"/>
          <w:szCs w:val="24"/>
        </w:rPr>
      </w:pPr>
    </w:p>
    <w:p w14:paraId="44830271" w14:textId="77777777" w:rsidR="00412D86" w:rsidRDefault="00412D86" w:rsidP="007A455C">
      <w:pPr>
        <w:spacing w:after="0" w:line="240" w:lineRule="auto"/>
        <w:jc w:val="both"/>
        <w:rPr>
          <w:rFonts w:ascii="Times New Roman" w:hAnsi="Times New Roman"/>
          <w:sz w:val="24"/>
          <w:szCs w:val="24"/>
        </w:rPr>
      </w:pPr>
    </w:p>
    <w:p w14:paraId="710178EC" w14:textId="77777777" w:rsidR="00412D86" w:rsidRDefault="00412D86" w:rsidP="007A455C">
      <w:pPr>
        <w:spacing w:after="0" w:line="240" w:lineRule="auto"/>
        <w:jc w:val="both"/>
        <w:rPr>
          <w:rFonts w:ascii="Times New Roman" w:hAnsi="Times New Roman"/>
          <w:sz w:val="24"/>
          <w:szCs w:val="24"/>
        </w:rPr>
      </w:pPr>
    </w:p>
    <w:p w14:paraId="6088F32A" w14:textId="77777777" w:rsidR="00412D86" w:rsidRDefault="00412D86" w:rsidP="007A455C">
      <w:pPr>
        <w:spacing w:after="0" w:line="240" w:lineRule="auto"/>
        <w:jc w:val="both"/>
        <w:rPr>
          <w:rFonts w:ascii="Times New Roman" w:hAnsi="Times New Roman"/>
          <w:sz w:val="24"/>
          <w:szCs w:val="24"/>
        </w:rPr>
      </w:pPr>
    </w:p>
    <w:p w14:paraId="00E56ECC" w14:textId="77777777" w:rsidR="00412D86" w:rsidRDefault="00412D86" w:rsidP="007A455C">
      <w:pPr>
        <w:spacing w:after="0" w:line="240" w:lineRule="auto"/>
        <w:jc w:val="both"/>
        <w:rPr>
          <w:rFonts w:ascii="Times New Roman" w:hAnsi="Times New Roman"/>
          <w:sz w:val="24"/>
          <w:szCs w:val="24"/>
        </w:rPr>
      </w:pPr>
    </w:p>
    <w:p w14:paraId="7CD84818" w14:textId="77777777" w:rsidR="00412D86" w:rsidRDefault="00412D86" w:rsidP="007A455C">
      <w:pPr>
        <w:spacing w:after="0" w:line="240" w:lineRule="auto"/>
        <w:jc w:val="both"/>
        <w:rPr>
          <w:rFonts w:ascii="Times New Roman" w:hAnsi="Times New Roman"/>
          <w:sz w:val="24"/>
          <w:szCs w:val="24"/>
        </w:rPr>
      </w:pPr>
    </w:p>
    <w:p w14:paraId="1052C592" w14:textId="77777777" w:rsidR="00412D86" w:rsidRDefault="00412D86" w:rsidP="007A455C">
      <w:pPr>
        <w:spacing w:after="0" w:line="240" w:lineRule="auto"/>
        <w:jc w:val="both"/>
        <w:rPr>
          <w:rFonts w:ascii="Times New Roman" w:hAnsi="Times New Roman"/>
          <w:sz w:val="24"/>
          <w:szCs w:val="24"/>
        </w:rPr>
      </w:pPr>
    </w:p>
    <w:p w14:paraId="21EEF458" w14:textId="77777777" w:rsidR="00950ED6" w:rsidRPr="00950ED6" w:rsidRDefault="00950ED6" w:rsidP="00950ED6">
      <w:pPr>
        <w:shd w:val="clear" w:color="auto" w:fill="DBE5F1" w:themeFill="accent1" w:themeFillTint="33"/>
        <w:spacing w:after="0" w:line="240" w:lineRule="auto"/>
        <w:jc w:val="both"/>
        <w:rPr>
          <w:rFonts w:ascii="Times New Roman" w:hAnsi="Times New Roman"/>
          <w:b/>
          <w:bCs/>
        </w:rPr>
      </w:pPr>
      <w:r w:rsidRPr="00950ED6">
        <w:rPr>
          <w:rFonts w:ascii="Times New Roman" w:hAnsi="Times New Roman"/>
          <w:b/>
          <w:bCs/>
        </w:rPr>
        <w:lastRenderedPageBreak/>
        <w:t>2.1.4. Stanje novčanih sredstava</w:t>
      </w:r>
    </w:p>
    <w:p w14:paraId="672095C1" w14:textId="77777777" w:rsidR="00950ED6" w:rsidRPr="00950ED6" w:rsidRDefault="00950ED6" w:rsidP="00950ED6">
      <w:pPr>
        <w:spacing w:after="0" w:line="240" w:lineRule="auto"/>
        <w:rPr>
          <w:rFonts w:ascii="Times New Roman" w:hAnsi="Times New Roman"/>
        </w:rPr>
      </w:pPr>
    </w:p>
    <w:p w14:paraId="681DF962" w14:textId="77777777" w:rsidR="00950ED6" w:rsidRPr="00950ED6" w:rsidRDefault="00950ED6" w:rsidP="00950ED6">
      <w:pPr>
        <w:spacing w:after="0" w:line="240" w:lineRule="auto"/>
        <w:rPr>
          <w:rFonts w:ascii="Times New Roman" w:hAnsi="Times New Roman"/>
        </w:rPr>
      </w:pPr>
      <w:r w:rsidRPr="00950ED6">
        <w:rPr>
          <w:rFonts w:ascii="Times New Roman" w:hAnsi="Times New Roman"/>
        </w:rPr>
        <w:t>Novčana sredstva Općine Oprtalj kod poslovne banke, ERSTE BANK d.d., ostvarena su kako slijedi:</w:t>
      </w:r>
    </w:p>
    <w:p w14:paraId="60F5107F" w14:textId="77777777" w:rsidR="00950ED6" w:rsidRPr="00950ED6" w:rsidRDefault="00950ED6" w:rsidP="00950ED6">
      <w:pPr>
        <w:spacing w:after="0" w:line="240" w:lineRule="auto"/>
        <w:rPr>
          <w:rFonts w:ascii="Times New Roman" w:hAnsi="Times New Roman"/>
          <w:b/>
          <w:bCs/>
        </w:rPr>
      </w:pPr>
    </w:p>
    <w:p w14:paraId="3486C78E" w14:textId="7224E9D5" w:rsidR="00950ED6" w:rsidRPr="00950ED6" w:rsidRDefault="00950ED6" w:rsidP="00950ED6">
      <w:pPr>
        <w:spacing w:after="0" w:line="240" w:lineRule="auto"/>
        <w:rPr>
          <w:rFonts w:ascii="Times New Roman" w:hAnsi="Times New Roman"/>
          <w:b/>
          <w:bCs/>
        </w:rPr>
      </w:pPr>
      <w:r w:rsidRPr="00950ED6">
        <w:rPr>
          <w:rFonts w:ascii="Times New Roman" w:hAnsi="Times New Roman"/>
          <w:b/>
          <w:i/>
        </w:rPr>
        <w:t xml:space="preserve">Tablica broj </w:t>
      </w:r>
      <w:r>
        <w:rPr>
          <w:rFonts w:ascii="Times New Roman" w:hAnsi="Times New Roman"/>
          <w:b/>
          <w:i/>
        </w:rPr>
        <w:t>6</w:t>
      </w:r>
      <w:r w:rsidRPr="00950ED6">
        <w:rPr>
          <w:rFonts w:ascii="Times New Roman" w:hAnsi="Times New Roman"/>
          <w:b/>
          <w:i/>
        </w:rPr>
        <w:t>.:</w:t>
      </w:r>
      <w:r w:rsidRPr="00950ED6">
        <w:rPr>
          <w:rFonts w:ascii="Times New Roman" w:hAnsi="Times New Roman"/>
          <w:i/>
        </w:rPr>
        <w:t xml:space="preserve"> Prikaz novčanih sredstava na žiro računu Općina na dan 01.01./ </w:t>
      </w:r>
      <w:r>
        <w:rPr>
          <w:rFonts w:ascii="Times New Roman" w:hAnsi="Times New Roman"/>
          <w:i/>
        </w:rPr>
        <w:t>3</w:t>
      </w:r>
      <w:r w:rsidR="0091227F">
        <w:rPr>
          <w:rFonts w:ascii="Times New Roman" w:hAnsi="Times New Roman"/>
          <w:i/>
        </w:rPr>
        <w:t>1</w:t>
      </w:r>
      <w:r w:rsidR="00412D86">
        <w:rPr>
          <w:rFonts w:ascii="Times New Roman" w:hAnsi="Times New Roman"/>
          <w:i/>
        </w:rPr>
        <w:t>.12.2025</w:t>
      </w:r>
      <w:r w:rsidRPr="00950ED6">
        <w:rPr>
          <w:rFonts w:ascii="Times New Roman" w:hAnsi="Times New Roman"/>
          <w:i/>
        </w:rPr>
        <w:t>.</w:t>
      </w:r>
    </w:p>
    <w:tbl>
      <w:tblPr>
        <w:tblStyle w:val="TableGridLight"/>
        <w:tblW w:w="5024" w:type="pct"/>
        <w:tblLook w:val="0000" w:firstRow="0" w:lastRow="0" w:firstColumn="0" w:lastColumn="0" w:noHBand="0" w:noVBand="0"/>
      </w:tblPr>
      <w:tblGrid>
        <w:gridCol w:w="5161"/>
        <w:gridCol w:w="1972"/>
        <w:gridCol w:w="1970"/>
      </w:tblGrid>
      <w:tr w:rsidR="00950ED6" w:rsidRPr="00950ED6" w14:paraId="63CFB624" w14:textId="77777777" w:rsidTr="009F2701">
        <w:trPr>
          <w:trHeight w:val="1048"/>
        </w:trPr>
        <w:tc>
          <w:tcPr>
            <w:tcW w:w="2835" w:type="pct"/>
            <w:shd w:val="clear" w:color="auto" w:fill="F2F2F2" w:themeFill="background1" w:themeFillShade="F2"/>
            <w:vAlign w:val="center"/>
          </w:tcPr>
          <w:p w14:paraId="31A2703F" w14:textId="77777777" w:rsidR="00950ED6" w:rsidRPr="00412D86" w:rsidRDefault="00950ED6" w:rsidP="001870D6">
            <w:pPr>
              <w:jc w:val="center"/>
              <w:rPr>
                <w:rFonts w:ascii="Times New Roman" w:hAnsi="Times New Roman"/>
                <w:b/>
                <w:sz w:val="20"/>
                <w:szCs w:val="20"/>
              </w:rPr>
            </w:pPr>
            <w:r w:rsidRPr="00412D86">
              <w:rPr>
                <w:rFonts w:ascii="Times New Roman" w:hAnsi="Times New Roman"/>
                <w:b/>
                <w:sz w:val="20"/>
                <w:szCs w:val="20"/>
              </w:rPr>
              <w:t>NAZIV PRAVNE OSOBE</w:t>
            </w:r>
          </w:p>
        </w:tc>
        <w:tc>
          <w:tcPr>
            <w:tcW w:w="1083" w:type="pct"/>
            <w:shd w:val="clear" w:color="auto" w:fill="F2F2F2" w:themeFill="background1" w:themeFillShade="F2"/>
            <w:vAlign w:val="center"/>
          </w:tcPr>
          <w:p w14:paraId="3FB8FCAD" w14:textId="77777777" w:rsidR="00950ED6" w:rsidRPr="00412D86" w:rsidRDefault="00950ED6" w:rsidP="001870D6">
            <w:pPr>
              <w:pStyle w:val="Standard"/>
              <w:snapToGrid w:val="0"/>
              <w:jc w:val="center"/>
              <w:rPr>
                <w:rFonts w:cs="Times New Roman"/>
                <w:b/>
                <w:sz w:val="20"/>
                <w:szCs w:val="20"/>
              </w:rPr>
            </w:pPr>
            <w:r w:rsidRPr="00412D86">
              <w:rPr>
                <w:rFonts w:cs="Times New Roman"/>
                <w:b/>
                <w:sz w:val="20"/>
                <w:szCs w:val="20"/>
              </w:rPr>
              <w:t>STANJE NOVČANIH SREDSTAVA</w:t>
            </w:r>
          </w:p>
          <w:p w14:paraId="36C23FE1" w14:textId="583490F6" w:rsidR="00950ED6" w:rsidRPr="00412D86" w:rsidRDefault="00950ED6" w:rsidP="001870D6">
            <w:pPr>
              <w:pStyle w:val="Standard"/>
              <w:snapToGrid w:val="0"/>
              <w:jc w:val="center"/>
              <w:rPr>
                <w:rFonts w:cs="Times New Roman"/>
                <w:b/>
                <w:sz w:val="20"/>
                <w:szCs w:val="20"/>
              </w:rPr>
            </w:pPr>
            <w:r w:rsidRPr="00412D86">
              <w:rPr>
                <w:rFonts w:cs="Times New Roman"/>
                <w:b/>
                <w:sz w:val="20"/>
                <w:szCs w:val="20"/>
              </w:rPr>
              <w:t>01.01.202</w:t>
            </w:r>
            <w:r w:rsidR="00412D86" w:rsidRPr="00412D86">
              <w:rPr>
                <w:rFonts w:cs="Times New Roman"/>
                <w:b/>
                <w:sz w:val="20"/>
                <w:szCs w:val="20"/>
              </w:rPr>
              <w:t>5</w:t>
            </w:r>
            <w:r w:rsidRPr="00412D86">
              <w:rPr>
                <w:rFonts w:cs="Times New Roman"/>
                <w:b/>
                <w:sz w:val="20"/>
                <w:szCs w:val="20"/>
              </w:rPr>
              <w:t>.</w:t>
            </w:r>
          </w:p>
        </w:tc>
        <w:tc>
          <w:tcPr>
            <w:tcW w:w="1083" w:type="pct"/>
            <w:shd w:val="clear" w:color="auto" w:fill="F2F2F2" w:themeFill="background1" w:themeFillShade="F2"/>
            <w:vAlign w:val="center"/>
          </w:tcPr>
          <w:p w14:paraId="55197C12" w14:textId="77777777" w:rsidR="00950ED6" w:rsidRPr="00412D86" w:rsidRDefault="00950ED6" w:rsidP="001870D6">
            <w:pPr>
              <w:pStyle w:val="Standard"/>
              <w:snapToGrid w:val="0"/>
              <w:jc w:val="center"/>
              <w:rPr>
                <w:rFonts w:cs="Times New Roman"/>
                <w:b/>
                <w:sz w:val="20"/>
                <w:szCs w:val="20"/>
              </w:rPr>
            </w:pPr>
            <w:r w:rsidRPr="00412D86">
              <w:rPr>
                <w:rFonts w:cs="Times New Roman"/>
                <w:b/>
                <w:sz w:val="20"/>
                <w:szCs w:val="20"/>
              </w:rPr>
              <w:t>STANJE NOVČANIH SREDSTAVA</w:t>
            </w:r>
          </w:p>
          <w:p w14:paraId="4DB99681" w14:textId="7BB711EB" w:rsidR="00950ED6" w:rsidRPr="00412D86" w:rsidRDefault="0091227F" w:rsidP="001870D6">
            <w:pPr>
              <w:pStyle w:val="Standard"/>
              <w:snapToGrid w:val="0"/>
              <w:jc w:val="center"/>
              <w:rPr>
                <w:rFonts w:cs="Times New Roman"/>
                <w:b/>
                <w:sz w:val="20"/>
                <w:szCs w:val="20"/>
              </w:rPr>
            </w:pPr>
            <w:r w:rsidRPr="00412D86">
              <w:rPr>
                <w:rFonts w:cs="Times New Roman"/>
                <w:b/>
                <w:sz w:val="20"/>
                <w:szCs w:val="20"/>
              </w:rPr>
              <w:t>31.12</w:t>
            </w:r>
            <w:r w:rsidR="00412D86" w:rsidRPr="00412D86">
              <w:rPr>
                <w:rFonts w:cs="Times New Roman"/>
                <w:b/>
                <w:sz w:val="20"/>
                <w:szCs w:val="20"/>
              </w:rPr>
              <w:t>.2025</w:t>
            </w:r>
            <w:r w:rsidR="00950ED6" w:rsidRPr="00412D86">
              <w:rPr>
                <w:rFonts w:cs="Times New Roman"/>
                <w:b/>
                <w:sz w:val="20"/>
                <w:szCs w:val="20"/>
              </w:rPr>
              <w:t>.</w:t>
            </w:r>
          </w:p>
        </w:tc>
      </w:tr>
      <w:tr w:rsidR="00950ED6" w:rsidRPr="00950ED6" w14:paraId="3F06BA25" w14:textId="77777777" w:rsidTr="009F2701">
        <w:trPr>
          <w:trHeight w:val="71"/>
        </w:trPr>
        <w:tc>
          <w:tcPr>
            <w:tcW w:w="2835" w:type="pct"/>
          </w:tcPr>
          <w:p w14:paraId="328B76C5" w14:textId="5FBFF592" w:rsidR="00950ED6" w:rsidRPr="00950ED6" w:rsidRDefault="00A81C8B" w:rsidP="001870D6">
            <w:pPr>
              <w:rPr>
                <w:rFonts w:ascii="Times New Roman" w:hAnsi="Times New Roman"/>
              </w:rPr>
            </w:pPr>
            <w:r>
              <w:rPr>
                <w:rFonts w:ascii="Times New Roman" w:hAnsi="Times New Roman"/>
              </w:rPr>
              <w:t>OPĆ</w:t>
            </w:r>
            <w:r w:rsidR="00950ED6" w:rsidRPr="00950ED6">
              <w:rPr>
                <w:rFonts w:ascii="Times New Roman" w:hAnsi="Times New Roman"/>
              </w:rPr>
              <w:t xml:space="preserve">INA OPRTALJ </w:t>
            </w:r>
          </w:p>
        </w:tc>
        <w:tc>
          <w:tcPr>
            <w:tcW w:w="1083" w:type="pct"/>
          </w:tcPr>
          <w:p w14:paraId="2B58286D" w14:textId="6C2609CC" w:rsidR="00950ED6" w:rsidRPr="00950ED6" w:rsidRDefault="00601E52" w:rsidP="001870D6">
            <w:pPr>
              <w:jc w:val="right"/>
              <w:rPr>
                <w:rFonts w:ascii="Times New Roman" w:hAnsi="Times New Roman"/>
              </w:rPr>
            </w:pPr>
            <w:r>
              <w:rPr>
                <w:rFonts w:ascii="Times New Roman" w:hAnsi="Times New Roman"/>
              </w:rPr>
              <w:t>528.139,51</w:t>
            </w:r>
            <w:r w:rsidR="00950ED6" w:rsidRPr="00950ED6">
              <w:rPr>
                <w:rFonts w:ascii="Times New Roman" w:hAnsi="Times New Roman"/>
              </w:rPr>
              <w:t xml:space="preserve"> EUR</w:t>
            </w:r>
          </w:p>
        </w:tc>
        <w:tc>
          <w:tcPr>
            <w:tcW w:w="1083" w:type="pct"/>
          </w:tcPr>
          <w:p w14:paraId="7013B4A9" w14:textId="27519F3E" w:rsidR="00950ED6" w:rsidRPr="00950ED6" w:rsidRDefault="00601E52" w:rsidP="001870D6">
            <w:pPr>
              <w:jc w:val="right"/>
              <w:rPr>
                <w:rFonts w:ascii="Times New Roman" w:hAnsi="Times New Roman"/>
              </w:rPr>
            </w:pPr>
            <w:r>
              <w:rPr>
                <w:rFonts w:ascii="Times New Roman" w:hAnsi="Times New Roman"/>
              </w:rPr>
              <w:t>485.601,80 EUR</w:t>
            </w:r>
          </w:p>
        </w:tc>
      </w:tr>
    </w:tbl>
    <w:p w14:paraId="001FF5F0" w14:textId="77777777" w:rsidR="00950ED6" w:rsidRPr="00950ED6" w:rsidRDefault="00950ED6" w:rsidP="00950ED6">
      <w:pPr>
        <w:spacing w:after="0" w:line="240" w:lineRule="auto"/>
        <w:ind w:right="70"/>
        <w:jc w:val="both"/>
        <w:rPr>
          <w:rFonts w:ascii="Times New Roman" w:hAnsi="Times New Roman"/>
        </w:rPr>
      </w:pPr>
    </w:p>
    <w:p w14:paraId="652A9927" w14:textId="77777777" w:rsidR="00950ED6" w:rsidRDefault="00950ED6" w:rsidP="00950ED6">
      <w:pPr>
        <w:spacing w:after="0" w:line="240" w:lineRule="auto"/>
        <w:ind w:right="70"/>
        <w:jc w:val="both"/>
        <w:rPr>
          <w:rFonts w:ascii="Times New Roman" w:hAnsi="Times New Roman"/>
        </w:rPr>
      </w:pPr>
    </w:p>
    <w:p w14:paraId="3711F2B3" w14:textId="77777777" w:rsidR="00405F04" w:rsidRDefault="00405F04" w:rsidP="00950ED6">
      <w:pPr>
        <w:spacing w:after="0" w:line="240" w:lineRule="auto"/>
        <w:ind w:right="70"/>
        <w:jc w:val="both"/>
        <w:rPr>
          <w:rFonts w:ascii="Times New Roman" w:hAnsi="Times New Roman"/>
        </w:rPr>
      </w:pPr>
    </w:p>
    <w:p w14:paraId="44F7BABE" w14:textId="77777777" w:rsidR="00950ED6" w:rsidRPr="00950ED6" w:rsidRDefault="00950ED6" w:rsidP="00950ED6">
      <w:pPr>
        <w:shd w:val="clear" w:color="auto" w:fill="DBE5F1" w:themeFill="accent1" w:themeFillTint="33"/>
        <w:autoSpaceDE w:val="0"/>
        <w:autoSpaceDN w:val="0"/>
        <w:adjustRightInd w:val="0"/>
        <w:spacing w:after="0" w:line="240" w:lineRule="auto"/>
        <w:jc w:val="both"/>
        <w:rPr>
          <w:rFonts w:ascii="Times New Roman" w:hAnsi="Times New Roman"/>
          <w:b/>
          <w:bCs/>
          <w:lang w:eastAsia="en-GB"/>
        </w:rPr>
      </w:pPr>
      <w:r w:rsidRPr="00950ED6">
        <w:rPr>
          <w:rFonts w:ascii="Times New Roman" w:hAnsi="Times New Roman"/>
          <w:b/>
          <w:bCs/>
          <w:lang w:eastAsia="en-GB"/>
        </w:rPr>
        <w:t>2.1.5. Prihodi i primici, te rashodi i izdaci ostvareni preuzimanjem nefinancijske i financijske imovine u naplati potraživanja javnih davanja</w:t>
      </w:r>
    </w:p>
    <w:p w14:paraId="6EC3EB01" w14:textId="77777777" w:rsidR="00950ED6" w:rsidRPr="00950ED6" w:rsidRDefault="00950ED6" w:rsidP="00950ED6">
      <w:pPr>
        <w:spacing w:after="0" w:line="240" w:lineRule="auto"/>
        <w:jc w:val="both"/>
        <w:rPr>
          <w:rFonts w:ascii="Times New Roman" w:hAnsi="Times New Roman"/>
          <w:bCs/>
        </w:rPr>
      </w:pPr>
    </w:p>
    <w:p w14:paraId="6D1B795A" w14:textId="77777777" w:rsidR="00950ED6" w:rsidRPr="00950ED6" w:rsidRDefault="00950ED6" w:rsidP="00950ED6">
      <w:pPr>
        <w:spacing w:after="0" w:line="240" w:lineRule="auto"/>
        <w:jc w:val="both"/>
        <w:rPr>
          <w:rFonts w:ascii="Times New Roman" w:hAnsi="Times New Roman"/>
        </w:rPr>
      </w:pPr>
      <w:r w:rsidRPr="00950ED6">
        <w:rPr>
          <w:rFonts w:ascii="Times New Roman" w:hAnsi="Times New Roman"/>
          <w:bCs/>
        </w:rPr>
        <w:t>Općina Oprtalj nema realiziranih prihoda i primitaka, rashoda i izdataka ostvarenih</w:t>
      </w:r>
      <w:r w:rsidRPr="00950ED6">
        <w:rPr>
          <w:rFonts w:ascii="Times New Roman" w:hAnsi="Times New Roman"/>
        </w:rPr>
        <w:t xml:space="preserve"> preuzimanjem nefinancijske i financijske imovine u postupku naplate potraživanja javnih davanja.</w:t>
      </w:r>
    </w:p>
    <w:p w14:paraId="520B526D" w14:textId="77777777" w:rsidR="00950ED6" w:rsidRDefault="00950ED6" w:rsidP="00950ED6">
      <w:pPr>
        <w:spacing w:after="0" w:line="240" w:lineRule="auto"/>
        <w:ind w:right="70"/>
        <w:jc w:val="both"/>
        <w:rPr>
          <w:rFonts w:ascii="Times New Roman" w:hAnsi="Times New Roman"/>
          <w:sz w:val="24"/>
          <w:szCs w:val="24"/>
        </w:rPr>
      </w:pPr>
    </w:p>
    <w:p w14:paraId="68D010E4" w14:textId="77777777" w:rsidR="004011B1" w:rsidRDefault="004011B1" w:rsidP="00950ED6">
      <w:pPr>
        <w:spacing w:after="0" w:line="240" w:lineRule="auto"/>
        <w:ind w:right="70"/>
        <w:jc w:val="both"/>
        <w:rPr>
          <w:rFonts w:ascii="Times New Roman" w:hAnsi="Times New Roman"/>
          <w:sz w:val="24"/>
          <w:szCs w:val="24"/>
        </w:rPr>
      </w:pPr>
    </w:p>
    <w:p w14:paraId="1124EB56" w14:textId="77777777" w:rsidR="004011B1" w:rsidRDefault="004011B1" w:rsidP="00950ED6">
      <w:pPr>
        <w:spacing w:after="0" w:line="240" w:lineRule="auto"/>
        <w:ind w:right="70"/>
        <w:jc w:val="both"/>
        <w:rPr>
          <w:rFonts w:ascii="Times New Roman" w:hAnsi="Times New Roman"/>
          <w:sz w:val="24"/>
          <w:szCs w:val="24"/>
        </w:rPr>
      </w:pPr>
    </w:p>
    <w:p w14:paraId="5064FEA2" w14:textId="77777777" w:rsidR="004011B1" w:rsidRDefault="004011B1" w:rsidP="00950ED6">
      <w:pPr>
        <w:spacing w:after="0" w:line="240" w:lineRule="auto"/>
        <w:ind w:right="70"/>
        <w:jc w:val="both"/>
        <w:rPr>
          <w:rFonts w:ascii="Times New Roman" w:hAnsi="Times New Roman"/>
          <w:sz w:val="24"/>
          <w:szCs w:val="24"/>
        </w:rPr>
      </w:pPr>
    </w:p>
    <w:p w14:paraId="4D897620" w14:textId="77777777" w:rsidR="004011B1" w:rsidRDefault="004011B1" w:rsidP="00950ED6">
      <w:pPr>
        <w:spacing w:after="0" w:line="240" w:lineRule="auto"/>
        <w:ind w:right="70"/>
        <w:jc w:val="both"/>
        <w:rPr>
          <w:rFonts w:ascii="Times New Roman" w:hAnsi="Times New Roman"/>
          <w:sz w:val="24"/>
          <w:szCs w:val="24"/>
        </w:rPr>
      </w:pPr>
    </w:p>
    <w:p w14:paraId="2D858B55" w14:textId="77777777" w:rsidR="004011B1" w:rsidRDefault="004011B1" w:rsidP="00950ED6">
      <w:pPr>
        <w:spacing w:after="0" w:line="240" w:lineRule="auto"/>
        <w:ind w:right="70"/>
        <w:jc w:val="both"/>
        <w:rPr>
          <w:rFonts w:ascii="Times New Roman" w:hAnsi="Times New Roman"/>
          <w:sz w:val="24"/>
          <w:szCs w:val="24"/>
        </w:rPr>
      </w:pPr>
    </w:p>
    <w:p w14:paraId="773F1052" w14:textId="77777777" w:rsidR="004011B1" w:rsidRDefault="004011B1" w:rsidP="00950ED6">
      <w:pPr>
        <w:spacing w:after="0" w:line="240" w:lineRule="auto"/>
        <w:ind w:right="70"/>
        <w:jc w:val="both"/>
        <w:rPr>
          <w:rFonts w:ascii="Times New Roman" w:hAnsi="Times New Roman"/>
          <w:sz w:val="24"/>
          <w:szCs w:val="24"/>
        </w:rPr>
      </w:pPr>
    </w:p>
    <w:p w14:paraId="49620ED4" w14:textId="77777777" w:rsidR="004011B1" w:rsidRDefault="004011B1" w:rsidP="00950ED6">
      <w:pPr>
        <w:spacing w:after="0" w:line="240" w:lineRule="auto"/>
        <w:ind w:right="70"/>
        <w:jc w:val="both"/>
        <w:rPr>
          <w:rFonts w:ascii="Times New Roman" w:hAnsi="Times New Roman"/>
          <w:sz w:val="24"/>
          <w:szCs w:val="24"/>
        </w:rPr>
      </w:pPr>
    </w:p>
    <w:p w14:paraId="51DFAA5D" w14:textId="77777777" w:rsidR="004011B1" w:rsidRDefault="004011B1" w:rsidP="00950ED6">
      <w:pPr>
        <w:spacing w:after="0" w:line="240" w:lineRule="auto"/>
        <w:ind w:right="70"/>
        <w:jc w:val="both"/>
        <w:rPr>
          <w:rFonts w:ascii="Times New Roman" w:hAnsi="Times New Roman"/>
          <w:sz w:val="24"/>
          <w:szCs w:val="24"/>
        </w:rPr>
      </w:pPr>
    </w:p>
    <w:p w14:paraId="0C979957" w14:textId="77777777" w:rsidR="004011B1" w:rsidRDefault="004011B1" w:rsidP="00950ED6">
      <w:pPr>
        <w:spacing w:after="0" w:line="240" w:lineRule="auto"/>
        <w:ind w:right="70"/>
        <w:jc w:val="both"/>
        <w:rPr>
          <w:rFonts w:ascii="Times New Roman" w:hAnsi="Times New Roman"/>
          <w:sz w:val="24"/>
          <w:szCs w:val="24"/>
        </w:rPr>
      </w:pPr>
    </w:p>
    <w:p w14:paraId="2EE25322" w14:textId="77777777" w:rsidR="004011B1" w:rsidRDefault="004011B1" w:rsidP="00950ED6">
      <w:pPr>
        <w:spacing w:after="0" w:line="240" w:lineRule="auto"/>
        <w:ind w:right="70"/>
        <w:jc w:val="both"/>
        <w:rPr>
          <w:rFonts w:ascii="Times New Roman" w:hAnsi="Times New Roman"/>
          <w:sz w:val="24"/>
          <w:szCs w:val="24"/>
        </w:rPr>
      </w:pPr>
    </w:p>
    <w:p w14:paraId="3B9BFF7E" w14:textId="77777777" w:rsidR="004011B1" w:rsidRDefault="004011B1" w:rsidP="00950ED6">
      <w:pPr>
        <w:spacing w:after="0" w:line="240" w:lineRule="auto"/>
        <w:ind w:right="70"/>
        <w:jc w:val="both"/>
        <w:rPr>
          <w:rFonts w:ascii="Times New Roman" w:hAnsi="Times New Roman"/>
          <w:sz w:val="24"/>
          <w:szCs w:val="24"/>
        </w:rPr>
      </w:pPr>
    </w:p>
    <w:p w14:paraId="6AA54AD4" w14:textId="77777777" w:rsidR="004011B1" w:rsidRDefault="004011B1" w:rsidP="00950ED6">
      <w:pPr>
        <w:spacing w:after="0" w:line="240" w:lineRule="auto"/>
        <w:ind w:right="70"/>
        <w:jc w:val="both"/>
        <w:rPr>
          <w:rFonts w:ascii="Times New Roman" w:hAnsi="Times New Roman"/>
          <w:sz w:val="24"/>
          <w:szCs w:val="24"/>
        </w:rPr>
      </w:pPr>
    </w:p>
    <w:p w14:paraId="6234A0D9" w14:textId="77777777" w:rsidR="004011B1" w:rsidRDefault="004011B1" w:rsidP="00950ED6">
      <w:pPr>
        <w:spacing w:after="0" w:line="240" w:lineRule="auto"/>
        <w:ind w:right="70"/>
        <w:jc w:val="both"/>
        <w:rPr>
          <w:rFonts w:ascii="Times New Roman" w:hAnsi="Times New Roman"/>
          <w:sz w:val="24"/>
          <w:szCs w:val="24"/>
        </w:rPr>
      </w:pPr>
    </w:p>
    <w:p w14:paraId="180B8C03" w14:textId="77777777" w:rsidR="004011B1" w:rsidRDefault="004011B1" w:rsidP="00950ED6">
      <w:pPr>
        <w:spacing w:after="0" w:line="240" w:lineRule="auto"/>
        <w:ind w:right="70"/>
        <w:jc w:val="both"/>
        <w:rPr>
          <w:rFonts w:ascii="Times New Roman" w:hAnsi="Times New Roman"/>
          <w:sz w:val="24"/>
          <w:szCs w:val="24"/>
        </w:rPr>
      </w:pPr>
    </w:p>
    <w:p w14:paraId="0E070724" w14:textId="77777777" w:rsidR="004011B1" w:rsidRDefault="004011B1" w:rsidP="00950ED6">
      <w:pPr>
        <w:spacing w:after="0" w:line="240" w:lineRule="auto"/>
        <w:ind w:right="70"/>
        <w:jc w:val="both"/>
        <w:rPr>
          <w:rFonts w:ascii="Times New Roman" w:hAnsi="Times New Roman"/>
          <w:sz w:val="24"/>
          <w:szCs w:val="24"/>
        </w:rPr>
      </w:pPr>
    </w:p>
    <w:p w14:paraId="3EA99E76" w14:textId="77777777" w:rsidR="004011B1" w:rsidRDefault="004011B1" w:rsidP="00950ED6">
      <w:pPr>
        <w:spacing w:after="0" w:line="240" w:lineRule="auto"/>
        <w:ind w:right="70"/>
        <w:jc w:val="both"/>
        <w:rPr>
          <w:rFonts w:ascii="Times New Roman" w:hAnsi="Times New Roman"/>
          <w:sz w:val="24"/>
          <w:szCs w:val="24"/>
        </w:rPr>
      </w:pPr>
    </w:p>
    <w:p w14:paraId="0C30D90E" w14:textId="77777777" w:rsidR="004011B1" w:rsidRDefault="004011B1" w:rsidP="00950ED6">
      <w:pPr>
        <w:spacing w:after="0" w:line="240" w:lineRule="auto"/>
        <w:ind w:right="70"/>
        <w:jc w:val="both"/>
        <w:rPr>
          <w:rFonts w:ascii="Times New Roman" w:hAnsi="Times New Roman"/>
          <w:sz w:val="24"/>
          <w:szCs w:val="24"/>
        </w:rPr>
      </w:pPr>
    </w:p>
    <w:p w14:paraId="4903ACCD" w14:textId="77777777" w:rsidR="004011B1" w:rsidRDefault="004011B1" w:rsidP="00950ED6">
      <w:pPr>
        <w:spacing w:after="0" w:line="240" w:lineRule="auto"/>
        <w:ind w:right="70"/>
        <w:jc w:val="both"/>
        <w:rPr>
          <w:rFonts w:ascii="Times New Roman" w:hAnsi="Times New Roman"/>
          <w:sz w:val="24"/>
          <w:szCs w:val="24"/>
        </w:rPr>
      </w:pPr>
    </w:p>
    <w:p w14:paraId="2D090F96" w14:textId="77777777" w:rsidR="004011B1" w:rsidRDefault="004011B1" w:rsidP="00950ED6">
      <w:pPr>
        <w:spacing w:after="0" w:line="240" w:lineRule="auto"/>
        <w:ind w:right="70"/>
        <w:jc w:val="both"/>
        <w:rPr>
          <w:rFonts w:ascii="Times New Roman" w:hAnsi="Times New Roman"/>
          <w:sz w:val="24"/>
          <w:szCs w:val="24"/>
        </w:rPr>
      </w:pPr>
    </w:p>
    <w:p w14:paraId="4FA7C289" w14:textId="77777777" w:rsidR="004011B1" w:rsidRDefault="004011B1" w:rsidP="00950ED6">
      <w:pPr>
        <w:spacing w:after="0" w:line="240" w:lineRule="auto"/>
        <w:ind w:right="70"/>
        <w:jc w:val="both"/>
        <w:rPr>
          <w:rFonts w:ascii="Times New Roman" w:hAnsi="Times New Roman"/>
          <w:sz w:val="24"/>
          <w:szCs w:val="24"/>
        </w:rPr>
      </w:pPr>
    </w:p>
    <w:p w14:paraId="623CC29F" w14:textId="77777777" w:rsidR="00A81C8B" w:rsidRDefault="00A81C8B" w:rsidP="00950ED6">
      <w:pPr>
        <w:spacing w:after="0" w:line="240" w:lineRule="auto"/>
        <w:ind w:right="70"/>
        <w:jc w:val="both"/>
        <w:rPr>
          <w:rFonts w:ascii="Times New Roman" w:hAnsi="Times New Roman"/>
          <w:sz w:val="24"/>
          <w:szCs w:val="24"/>
        </w:rPr>
      </w:pPr>
    </w:p>
    <w:p w14:paraId="71DEE1D3" w14:textId="77777777" w:rsidR="004011B1" w:rsidRDefault="004011B1" w:rsidP="00950ED6">
      <w:pPr>
        <w:spacing w:after="0" w:line="240" w:lineRule="auto"/>
        <w:ind w:right="70"/>
        <w:jc w:val="both"/>
        <w:rPr>
          <w:rFonts w:ascii="Times New Roman" w:hAnsi="Times New Roman"/>
          <w:sz w:val="24"/>
          <w:szCs w:val="24"/>
        </w:rPr>
      </w:pPr>
    </w:p>
    <w:p w14:paraId="0E8A569D" w14:textId="77777777" w:rsidR="004011B1" w:rsidRDefault="004011B1" w:rsidP="00950ED6">
      <w:pPr>
        <w:spacing w:after="0" w:line="240" w:lineRule="auto"/>
        <w:ind w:right="70"/>
        <w:jc w:val="both"/>
        <w:rPr>
          <w:rFonts w:ascii="Times New Roman" w:hAnsi="Times New Roman"/>
          <w:sz w:val="24"/>
          <w:szCs w:val="24"/>
        </w:rPr>
      </w:pPr>
    </w:p>
    <w:p w14:paraId="6C297B5B" w14:textId="77777777" w:rsidR="004011B1" w:rsidRDefault="004011B1" w:rsidP="00950ED6">
      <w:pPr>
        <w:spacing w:after="0" w:line="240" w:lineRule="auto"/>
        <w:ind w:right="70"/>
        <w:jc w:val="both"/>
        <w:rPr>
          <w:rFonts w:ascii="Times New Roman" w:hAnsi="Times New Roman"/>
          <w:sz w:val="24"/>
          <w:szCs w:val="24"/>
        </w:rPr>
      </w:pPr>
    </w:p>
    <w:p w14:paraId="0E6E465A" w14:textId="77777777" w:rsidR="004011B1" w:rsidRDefault="004011B1" w:rsidP="00950ED6">
      <w:pPr>
        <w:spacing w:after="0" w:line="240" w:lineRule="auto"/>
        <w:ind w:right="70"/>
        <w:jc w:val="both"/>
        <w:rPr>
          <w:rFonts w:ascii="Times New Roman" w:hAnsi="Times New Roman"/>
          <w:sz w:val="24"/>
          <w:szCs w:val="24"/>
        </w:rPr>
      </w:pPr>
    </w:p>
    <w:p w14:paraId="378D9A93" w14:textId="77777777" w:rsidR="004011B1" w:rsidRDefault="004011B1" w:rsidP="00950ED6">
      <w:pPr>
        <w:spacing w:after="0" w:line="240" w:lineRule="auto"/>
        <w:ind w:right="70"/>
        <w:jc w:val="both"/>
        <w:rPr>
          <w:rFonts w:ascii="Times New Roman" w:hAnsi="Times New Roman"/>
          <w:sz w:val="24"/>
          <w:szCs w:val="24"/>
        </w:rPr>
      </w:pPr>
    </w:p>
    <w:p w14:paraId="4E6FD5DD" w14:textId="77777777" w:rsidR="004011B1" w:rsidRDefault="004011B1" w:rsidP="00950ED6">
      <w:pPr>
        <w:spacing w:after="0" w:line="240" w:lineRule="auto"/>
        <w:ind w:right="70"/>
        <w:jc w:val="both"/>
        <w:rPr>
          <w:rFonts w:ascii="Times New Roman" w:hAnsi="Times New Roman"/>
          <w:sz w:val="24"/>
          <w:szCs w:val="24"/>
        </w:rPr>
      </w:pPr>
    </w:p>
    <w:p w14:paraId="336C5EAC" w14:textId="77777777" w:rsidR="004011B1" w:rsidRDefault="004011B1" w:rsidP="00950ED6">
      <w:pPr>
        <w:spacing w:after="0" w:line="240" w:lineRule="auto"/>
        <w:ind w:right="70"/>
        <w:jc w:val="both"/>
        <w:rPr>
          <w:rFonts w:ascii="Times New Roman" w:hAnsi="Times New Roman"/>
          <w:sz w:val="24"/>
          <w:szCs w:val="24"/>
        </w:rPr>
      </w:pPr>
    </w:p>
    <w:p w14:paraId="5F78A8BA" w14:textId="77777777" w:rsidR="004011B1" w:rsidRDefault="004011B1" w:rsidP="00950ED6">
      <w:pPr>
        <w:spacing w:after="0" w:line="240" w:lineRule="auto"/>
        <w:ind w:right="70"/>
        <w:jc w:val="both"/>
        <w:rPr>
          <w:rFonts w:ascii="Times New Roman" w:hAnsi="Times New Roman"/>
          <w:sz w:val="24"/>
          <w:szCs w:val="24"/>
        </w:rPr>
      </w:pPr>
    </w:p>
    <w:p w14:paraId="32EDC2E9" w14:textId="77777777" w:rsidR="004011B1" w:rsidRDefault="004011B1" w:rsidP="00950ED6">
      <w:pPr>
        <w:spacing w:after="0" w:line="240" w:lineRule="auto"/>
        <w:ind w:right="70"/>
        <w:jc w:val="both"/>
        <w:rPr>
          <w:rFonts w:ascii="Times New Roman" w:hAnsi="Times New Roman"/>
          <w:sz w:val="24"/>
          <w:szCs w:val="24"/>
        </w:rPr>
      </w:pPr>
    </w:p>
    <w:p w14:paraId="665B283A" w14:textId="77777777" w:rsidR="004011B1" w:rsidRDefault="004011B1" w:rsidP="00950ED6">
      <w:pPr>
        <w:spacing w:after="0" w:line="240" w:lineRule="auto"/>
        <w:ind w:right="70"/>
        <w:jc w:val="both"/>
        <w:rPr>
          <w:rFonts w:ascii="Times New Roman" w:hAnsi="Times New Roman"/>
          <w:sz w:val="24"/>
          <w:szCs w:val="24"/>
        </w:rPr>
      </w:pPr>
    </w:p>
    <w:p w14:paraId="52233321" w14:textId="77777777" w:rsidR="004011B1" w:rsidRDefault="004011B1" w:rsidP="00950ED6">
      <w:pPr>
        <w:spacing w:after="0" w:line="240" w:lineRule="auto"/>
        <w:ind w:right="70"/>
        <w:jc w:val="both"/>
        <w:rPr>
          <w:rFonts w:ascii="Times New Roman" w:hAnsi="Times New Roman"/>
          <w:sz w:val="24"/>
          <w:szCs w:val="24"/>
        </w:rPr>
      </w:pPr>
    </w:p>
    <w:p w14:paraId="2B6D4EB5" w14:textId="77777777" w:rsidR="004011B1" w:rsidRDefault="004011B1" w:rsidP="00950ED6">
      <w:pPr>
        <w:spacing w:after="0" w:line="240" w:lineRule="auto"/>
        <w:ind w:right="70"/>
        <w:jc w:val="both"/>
        <w:rPr>
          <w:rFonts w:ascii="Times New Roman" w:hAnsi="Times New Roman"/>
          <w:sz w:val="24"/>
          <w:szCs w:val="24"/>
        </w:rPr>
      </w:pPr>
    </w:p>
    <w:p w14:paraId="2CCD9E25" w14:textId="45F58758" w:rsidR="000A7169" w:rsidRPr="000A7169" w:rsidRDefault="00950ED6" w:rsidP="000A7169">
      <w:pPr>
        <w:shd w:val="clear" w:color="auto" w:fill="DBE5F1" w:themeFill="accent1" w:themeFillTint="33"/>
        <w:spacing w:after="0" w:line="240" w:lineRule="auto"/>
        <w:jc w:val="both"/>
        <w:rPr>
          <w:rFonts w:ascii="Times New Roman" w:hAnsi="Times New Roman"/>
          <w:b/>
          <w:bCs/>
        </w:rPr>
      </w:pPr>
      <w:r>
        <w:rPr>
          <w:rFonts w:ascii="Times New Roman" w:hAnsi="Times New Roman"/>
          <w:b/>
          <w:bCs/>
        </w:rPr>
        <w:t>2</w:t>
      </w:r>
      <w:r w:rsidR="000A7169" w:rsidRPr="000A7169">
        <w:rPr>
          <w:rFonts w:ascii="Times New Roman" w:hAnsi="Times New Roman"/>
          <w:b/>
          <w:bCs/>
        </w:rPr>
        <w:t>.</w:t>
      </w:r>
      <w:r w:rsidR="000A7169">
        <w:rPr>
          <w:rFonts w:ascii="Times New Roman" w:hAnsi="Times New Roman"/>
          <w:b/>
          <w:bCs/>
        </w:rPr>
        <w:t xml:space="preserve">2. </w:t>
      </w:r>
      <w:r w:rsidR="000A7169" w:rsidRPr="000A7169">
        <w:rPr>
          <w:rFonts w:ascii="Times New Roman" w:hAnsi="Times New Roman"/>
          <w:b/>
          <w:bCs/>
        </w:rPr>
        <w:t xml:space="preserve">OBRAZLOŽENJE </w:t>
      </w:r>
      <w:r w:rsidR="000A7169">
        <w:rPr>
          <w:rFonts w:ascii="Times New Roman" w:hAnsi="Times New Roman"/>
          <w:b/>
          <w:bCs/>
        </w:rPr>
        <w:t>POSEBNOG DIJELA IZVJEŠTAJA O IZVRŠENJU PRORAČUNA</w:t>
      </w:r>
    </w:p>
    <w:p w14:paraId="3E23C6F5" w14:textId="77777777" w:rsidR="00950ED6" w:rsidRDefault="00950ED6" w:rsidP="009E28D6">
      <w:pPr>
        <w:spacing w:after="0" w:line="240" w:lineRule="auto"/>
        <w:jc w:val="both"/>
        <w:rPr>
          <w:rFonts w:ascii="Times New Roman" w:hAnsi="Times New Roman"/>
          <w:b/>
          <w:i/>
        </w:rPr>
      </w:pPr>
    </w:p>
    <w:p w14:paraId="6738BD0B" w14:textId="77562058" w:rsidR="00A45D13" w:rsidRPr="00DF1D87" w:rsidRDefault="00A45D13" w:rsidP="009E28D6">
      <w:pPr>
        <w:spacing w:after="0" w:line="240" w:lineRule="auto"/>
        <w:jc w:val="both"/>
        <w:rPr>
          <w:rFonts w:ascii="Times New Roman" w:hAnsi="Times New Roman"/>
        </w:rPr>
      </w:pPr>
      <w:r w:rsidRPr="00DF1D87">
        <w:rPr>
          <w:rFonts w:ascii="Times New Roman" w:hAnsi="Times New Roman"/>
          <w:b/>
          <w:i/>
        </w:rPr>
        <w:t>Razdjel je</w:t>
      </w:r>
      <w:r w:rsidRPr="00DF1D87">
        <w:rPr>
          <w:rFonts w:ascii="Times New Roman" w:hAnsi="Times New Roman"/>
        </w:rPr>
        <w:t xml:space="preserve">, sukladno Pravilniku o proračunskim klasifikacijama, organizacijska razina utvrđena za potrebe planiranja i izvršavanja proračuna, a sastoji se od jedne ili više glava. </w:t>
      </w:r>
    </w:p>
    <w:p w14:paraId="06B93367" w14:textId="77777777" w:rsidR="00A45D13" w:rsidRPr="00DF1D87" w:rsidRDefault="00A45D13" w:rsidP="009E28D6">
      <w:pPr>
        <w:spacing w:after="0" w:line="240" w:lineRule="auto"/>
        <w:jc w:val="both"/>
        <w:rPr>
          <w:rFonts w:ascii="Times New Roman" w:hAnsi="Times New Roman"/>
        </w:rPr>
      </w:pPr>
      <w:r w:rsidRPr="00DF1D87">
        <w:rPr>
          <w:rFonts w:ascii="Times New Roman" w:hAnsi="Times New Roman"/>
        </w:rPr>
        <w:t xml:space="preserve">Status razdjela državnog proračuna dodjeljuje se ministarstvima i onim proračunskim korisnicima državnog proračuna koji su izravno odgovorni Hrvatskom saboru ili predsjedniku Republike Hrvatske dok se status razdjela proračuna jedinica lokalne i područne (regionalne) samouprave može dodijeliti izvršnom tijelu, predstavničkom tijelu i upravnim tijelima. </w:t>
      </w:r>
    </w:p>
    <w:p w14:paraId="09F5B92F" w14:textId="77777777" w:rsidR="00986610" w:rsidRPr="00DF1D87" w:rsidRDefault="00986610" w:rsidP="009E28D6">
      <w:pPr>
        <w:spacing w:after="0" w:line="240" w:lineRule="auto"/>
        <w:jc w:val="both"/>
        <w:rPr>
          <w:rFonts w:ascii="Times New Roman" w:hAnsi="Times New Roman"/>
        </w:rPr>
      </w:pPr>
    </w:p>
    <w:p w14:paraId="32CDED7B" w14:textId="77777777" w:rsidR="00A45D13" w:rsidRPr="00DF1D87" w:rsidRDefault="00A45D13" w:rsidP="009E28D6">
      <w:pPr>
        <w:spacing w:after="0" w:line="240" w:lineRule="auto"/>
        <w:jc w:val="both"/>
        <w:rPr>
          <w:rFonts w:ascii="Times New Roman" w:hAnsi="Times New Roman"/>
        </w:rPr>
      </w:pPr>
      <w:r w:rsidRPr="00DF1D87">
        <w:rPr>
          <w:rFonts w:ascii="Times New Roman" w:hAnsi="Times New Roman"/>
        </w:rPr>
        <w:t xml:space="preserve">Sukladno gore citiranom Pravilniku, Proračun Općine </w:t>
      </w:r>
      <w:r w:rsidR="00F358B0" w:rsidRPr="00DF1D87">
        <w:rPr>
          <w:rFonts w:ascii="Times New Roman" w:hAnsi="Times New Roman"/>
        </w:rPr>
        <w:t>Oprtalj</w:t>
      </w:r>
      <w:r w:rsidRPr="00DF1D87">
        <w:rPr>
          <w:rFonts w:ascii="Times New Roman" w:hAnsi="Times New Roman"/>
        </w:rPr>
        <w:t xml:space="preserve"> sukladno Pravilniku o proračunskim klasifikacijama  strukturiran je s dva razdjela: </w:t>
      </w:r>
    </w:p>
    <w:p w14:paraId="211C645F" w14:textId="77777777" w:rsidR="00A45D13" w:rsidRPr="00DF1D87" w:rsidRDefault="00860F7E" w:rsidP="008747B7">
      <w:pPr>
        <w:pStyle w:val="ListParagraph"/>
        <w:numPr>
          <w:ilvl w:val="0"/>
          <w:numId w:val="6"/>
        </w:numPr>
        <w:spacing w:after="0" w:line="240" w:lineRule="auto"/>
        <w:jc w:val="both"/>
        <w:rPr>
          <w:rFonts w:ascii="Times New Roman" w:hAnsi="Times New Roman"/>
        </w:rPr>
      </w:pPr>
      <w:r w:rsidRPr="00DF1D87">
        <w:rPr>
          <w:rFonts w:ascii="Times New Roman" w:hAnsi="Times New Roman"/>
        </w:rPr>
        <w:t xml:space="preserve">Općinsko vijeće i općinski načelnik i </w:t>
      </w:r>
    </w:p>
    <w:p w14:paraId="59435E70" w14:textId="77777777" w:rsidR="00A45D13" w:rsidRPr="00DF1D87" w:rsidRDefault="00A45D13" w:rsidP="008747B7">
      <w:pPr>
        <w:pStyle w:val="ListParagraph"/>
        <w:numPr>
          <w:ilvl w:val="0"/>
          <w:numId w:val="6"/>
        </w:numPr>
        <w:spacing w:after="0" w:line="240" w:lineRule="auto"/>
        <w:jc w:val="both"/>
        <w:rPr>
          <w:rFonts w:ascii="Times New Roman" w:hAnsi="Times New Roman"/>
        </w:rPr>
      </w:pPr>
      <w:r w:rsidRPr="00DF1D87">
        <w:rPr>
          <w:rFonts w:ascii="Times New Roman" w:hAnsi="Times New Roman"/>
        </w:rPr>
        <w:t>Jedinstveni upravni odjel</w:t>
      </w:r>
    </w:p>
    <w:p w14:paraId="088AC4EF" w14:textId="77777777" w:rsidR="00ED0D56" w:rsidRPr="00DF1D87" w:rsidRDefault="00ED0D56" w:rsidP="00F358B0">
      <w:pPr>
        <w:spacing w:after="0" w:line="240" w:lineRule="auto"/>
        <w:ind w:right="70"/>
        <w:jc w:val="both"/>
        <w:rPr>
          <w:rFonts w:ascii="Times New Roman" w:hAnsi="Times New Roman"/>
          <w:b/>
          <w:i/>
        </w:rPr>
      </w:pPr>
    </w:p>
    <w:p w14:paraId="4EB1BAEC" w14:textId="77777777" w:rsidR="00D70FA4" w:rsidRPr="00DF1D87" w:rsidRDefault="00D70FA4" w:rsidP="00D70FA4">
      <w:pPr>
        <w:spacing w:after="0" w:line="240" w:lineRule="auto"/>
        <w:jc w:val="both"/>
        <w:rPr>
          <w:rFonts w:ascii="Times New Roman" w:hAnsi="Times New Roman"/>
          <w:lang w:eastAsia="en-GB"/>
        </w:rPr>
      </w:pPr>
      <w:r w:rsidRPr="00DF1D87">
        <w:rPr>
          <w:rFonts w:ascii="Times New Roman" w:hAnsi="Times New Roman"/>
          <w:b/>
          <w:i/>
        </w:rPr>
        <w:t>Programska klasifikacija</w:t>
      </w:r>
      <w:r w:rsidRPr="00DF1D87">
        <w:rPr>
          <w:rFonts w:ascii="Times New Roman" w:hAnsi="Times New Roman"/>
        </w:rPr>
        <w:t xml:space="preserve"> uspostavlja se definiranjem programa, aktivnosti i projekata. </w:t>
      </w:r>
      <w:r w:rsidRPr="00DF1D87">
        <w:rPr>
          <w:rFonts w:ascii="Times New Roman" w:hAnsi="Times New Roman"/>
          <w:color w:val="000000"/>
          <w:lang w:eastAsia="en-GB"/>
        </w:rPr>
        <w:t>Program je skup neovisnih, usko povezanih aktivnosti i projekata usmjerenih ispunjenju zajedničkog cilja.</w:t>
      </w:r>
      <w:r w:rsidRPr="00DF1D87">
        <w:rPr>
          <w:rFonts w:ascii="Times New Roman" w:hAnsi="Times New Roman"/>
          <w:lang w:eastAsia="en-GB"/>
        </w:rPr>
        <w:t xml:space="preserve"> </w:t>
      </w:r>
      <w:r w:rsidRPr="00DF1D87">
        <w:rPr>
          <w:rFonts w:ascii="Times New Roman" w:hAnsi="Times New Roman"/>
          <w:color w:val="000000"/>
          <w:lang w:eastAsia="en-GB"/>
        </w:rPr>
        <w:t>Program se sastoji od jedne ili više aktivnosti i/ili projekata, a aktivnost i projekt pripadaju samo jednom programu.</w:t>
      </w:r>
    </w:p>
    <w:p w14:paraId="135CCF1F" w14:textId="77777777" w:rsidR="00D70FA4" w:rsidRPr="00DF1D87" w:rsidRDefault="00D70FA4" w:rsidP="00D70FA4">
      <w:pPr>
        <w:pStyle w:val="Default"/>
        <w:jc w:val="both"/>
        <w:rPr>
          <w:rFonts w:ascii="Times New Roman" w:hAnsi="Times New Roman" w:cs="Times New Roman"/>
          <w:sz w:val="22"/>
          <w:szCs w:val="22"/>
        </w:rPr>
      </w:pPr>
    </w:p>
    <w:p w14:paraId="6A829480" w14:textId="40D451EA" w:rsidR="00D70FA4" w:rsidRPr="00DF1D87" w:rsidRDefault="00D70FA4" w:rsidP="00D70FA4">
      <w:pPr>
        <w:pStyle w:val="Default"/>
        <w:jc w:val="both"/>
        <w:rPr>
          <w:rFonts w:ascii="Times New Roman" w:hAnsi="Times New Roman" w:cs="Times New Roman"/>
          <w:sz w:val="22"/>
          <w:szCs w:val="22"/>
        </w:rPr>
      </w:pPr>
      <w:r w:rsidRPr="00DF1D87">
        <w:rPr>
          <w:rFonts w:ascii="Times New Roman" w:hAnsi="Times New Roman" w:cs="Times New Roman"/>
          <w:sz w:val="22"/>
          <w:szCs w:val="22"/>
        </w:rPr>
        <w:t>U nastavku daje se pregled definiranih program</w:t>
      </w:r>
      <w:r w:rsidR="009C4C50" w:rsidRPr="00DF1D87">
        <w:rPr>
          <w:rFonts w:ascii="Times New Roman" w:hAnsi="Times New Roman" w:cs="Times New Roman"/>
          <w:sz w:val="22"/>
          <w:szCs w:val="22"/>
        </w:rPr>
        <w:t>a</w:t>
      </w:r>
      <w:r w:rsidRPr="00DF1D87">
        <w:rPr>
          <w:rFonts w:ascii="Times New Roman" w:hAnsi="Times New Roman" w:cs="Times New Roman"/>
          <w:sz w:val="22"/>
          <w:szCs w:val="22"/>
        </w:rPr>
        <w:t xml:space="preserve"> kro</w:t>
      </w:r>
      <w:r w:rsidR="009C4C50" w:rsidRPr="00DF1D87">
        <w:rPr>
          <w:rFonts w:ascii="Times New Roman" w:hAnsi="Times New Roman" w:cs="Times New Roman"/>
          <w:sz w:val="22"/>
          <w:szCs w:val="22"/>
        </w:rPr>
        <w:t>z koje se prati</w:t>
      </w:r>
      <w:r w:rsidRPr="00DF1D87">
        <w:rPr>
          <w:rFonts w:ascii="Times New Roman" w:hAnsi="Times New Roman" w:cs="Times New Roman"/>
          <w:sz w:val="22"/>
          <w:szCs w:val="22"/>
        </w:rPr>
        <w:t xml:space="preserve"> realizacija proračuna Općine </w:t>
      </w:r>
      <w:r w:rsidR="00A764BC" w:rsidRPr="00DF1D87">
        <w:rPr>
          <w:rFonts w:ascii="Times New Roman" w:hAnsi="Times New Roman" w:cs="Times New Roman"/>
          <w:sz w:val="22"/>
          <w:szCs w:val="22"/>
        </w:rPr>
        <w:t xml:space="preserve">Oprtalj </w:t>
      </w:r>
      <w:r w:rsidR="00860F7E" w:rsidRPr="00DF1D87">
        <w:rPr>
          <w:rFonts w:ascii="Times New Roman" w:hAnsi="Times New Roman" w:cs="Times New Roman"/>
          <w:sz w:val="22"/>
          <w:szCs w:val="22"/>
        </w:rPr>
        <w:t xml:space="preserve">u </w:t>
      </w:r>
      <w:r w:rsidR="00565ECF">
        <w:rPr>
          <w:rFonts w:ascii="Times New Roman" w:hAnsi="Times New Roman" w:cs="Times New Roman"/>
          <w:sz w:val="22"/>
          <w:szCs w:val="22"/>
        </w:rPr>
        <w:t>2025</w:t>
      </w:r>
      <w:r w:rsidR="00667018">
        <w:rPr>
          <w:rFonts w:ascii="Times New Roman" w:hAnsi="Times New Roman" w:cs="Times New Roman"/>
          <w:sz w:val="22"/>
          <w:szCs w:val="22"/>
        </w:rPr>
        <w:t>. godini</w:t>
      </w:r>
      <w:r w:rsidRPr="00DF1D87">
        <w:rPr>
          <w:rFonts w:ascii="Times New Roman" w:hAnsi="Times New Roman" w:cs="Times New Roman"/>
          <w:sz w:val="22"/>
          <w:szCs w:val="22"/>
        </w:rPr>
        <w:t>.</w:t>
      </w:r>
    </w:p>
    <w:p w14:paraId="2E87F434" w14:textId="77777777" w:rsidR="00ED0D56" w:rsidRPr="00DF1D87" w:rsidRDefault="00ED0D56" w:rsidP="00D70FA4">
      <w:pPr>
        <w:spacing w:after="0" w:line="240" w:lineRule="auto"/>
        <w:ind w:right="70" w:firstLine="708"/>
        <w:jc w:val="both"/>
        <w:rPr>
          <w:rFonts w:ascii="Times New Roman" w:hAnsi="Times New Roman"/>
          <w:b/>
          <w:i/>
        </w:rPr>
      </w:pPr>
    </w:p>
    <w:p w14:paraId="30B0327A" w14:textId="77777777" w:rsidR="00815700" w:rsidRDefault="00815700" w:rsidP="00847578">
      <w:pPr>
        <w:spacing w:after="0" w:line="240" w:lineRule="auto"/>
        <w:ind w:right="70"/>
        <w:jc w:val="both"/>
        <w:rPr>
          <w:rFonts w:ascii="Times New Roman" w:hAnsi="Times New Roman"/>
          <w:b/>
          <w:i/>
          <w:sz w:val="24"/>
          <w:szCs w:val="24"/>
        </w:rPr>
      </w:pPr>
    </w:p>
    <w:p w14:paraId="728D4603" w14:textId="77777777" w:rsidR="00815700" w:rsidRDefault="00815700" w:rsidP="00EF4D53">
      <w:pPr>
        <w:spacing w:after="0" w:line="240" w:lineRule="auto"/>
        <w:ind w:right="70"/>
        <w:jc w:val="both"/>
        <w:rPr>
          <w:rFonts w:ascii="Times New Roman" w:hAnsi="Times New Roman"/>
          <w:b/>
          <w:i/>
          <w:sz w:val="24"/>
          <w:szCs w:val="24"/>
        </w:rPr>
      </w:pPr>
    </w:p>
    <w:p w14:paraId="30C3DD2C" w14:textId="77777777" w:rsidR="00815700" w:rsidRDefault="00815700" w:rsidP="00D70FA4">
      <w:pPr>
        <w:spacing w:after="0" w:line="240" w:lineRule="auto"/>
        <w:ind w:right="70" w:firstLine="708"/>
        <w:jc w:val="both"/>
        <w:rPr>
          <w:rFonts w:ascii="Times New Roman" w:hAnsi="Times New Roman"/>
          <w:b/>
          <w:i/>
          <w:sz w:val="24"/>
          <w:szCs w:val="24"/>
        </w:rPr>
      </w:pPr>
    </w:p>
    <w:p w14:paraId="6508B307" w14:textId="77777777" w:rsidR="00815700" w:rsidRDefault="00815700" w:rsidP="00D70FA4">
      <w:pPr>
        <w:spacing w:after="0" w:line="240" w:lineRule="auto"/>
        <w:ind w:right="70" w:firstLine="708"/>
        <w:jc w:val="both"/>
        <w:rPr>
          <w:rFonts w:ascii="Times New Roman" w:hAnsi="Times New Roman"/>
          <w:b/>
          <w:i/>
          <w:sz w:val="24"/>
          <w:szCs w:val="24"/>
        </w:rPr>
      </w:pPr>
    </w:p>
    <w:p w14:paraId="19C90FC7" w14:textId="77777777" w:rsidR="00815700" w:rsidRDefault="00815700" w:rsidP="00D70FA4">
      <w:pPr>
        <w:spacing w:after="0" w:line="240" w:lineRule="auto"/>
        <w:ind w:right="70" w:firstLine="708"/>
        <w:jc w:val="both"/>
        <w:rPr>
          <w:rFonts w:ascii="Times New Roman" w:hAnsi="Times New Roman"/>
          <w:b/>
          <w:i/>
          <w:sz w:val="24"/>
          <w:szCs w:val="24"/>
        </w:rPr>
      </w:pPr>
    </w:p>
    <w:p w14:paraId="516EFEE9" w14:textId="77777777" w:rsidR="00815700" w:rsidRDefault="00815700" w:rsidP="00D70FA4">
      <w:pPr>
        <w:spacing w:after="0" w:line="240" w:lineRule="auto"/>
        <w:ind w:right="70" w:firstLine="708"/>
        <w:jc w:val="both"/>
        <w:rPr>
          <w:rFonts w:ascii="Times New Roman" w:hAnsi="Times New Roman"/>
          <w:b/>
          <w:i/>
          <w:sz w:val="24"/>
          <w:szCs w:val="24"/>
        </w:rPr>
      </w:pPr>
    </w:p>
    <w:p w14:paraId="2A3624A3" w14:textId="77777777" w:rsidR="00815700" w:rsidRDefault="00815700" w:rsidP="00815700">
      <w:pPr>
        <w:pStyle w:val="Default"/>
        <w:jc w:val="both"/>
        <w:rPr>
          <w:rFonts w:ascii="Times New Roman" w:hAnsi="Times New Roman" w:cs="Times New Roman"/>
          <w:b/>
          <w:color w:val="auto"/>
        </w:rPr>
        <w:sectPr w:rsidR="00815700" w:rsidSect="003D1492">
          <w:pgSz w:w="11906" w:h="16838"/>
          <w:pgMar w:top="1418" w:right="1418" w:bottom="1418" w:left="1418" w:header="708" w:footer="708" w:gutter="0"/>
          <w:cols w:space="708"/>
          <w:docGrid w:linePitch="360"/>
        </w:sectPr>
      </w:pPr>
    </w:p>
    <w:p w14:paraId="7A283B95" w14:textId="23C40D6D" w:rsidR="005D74B7" w:rsidRPr="00DF1D87" w:rsidRDefault="00A764BC" w:rsidP="002F673D">
      <w:pPr>
        <w:pStyle w:val="Default"/>
        <w:jc w:val="both"/>
        <w:rPr>
          <w:rFonts w:ascii="Times New Roman" w:hAnsi="Times New Roman" w:cs="Times New Roman"/>
          <w:b/>
          <w:color w:val="auto"/>
          <w:sz w:val="22"/>
          <w:szCs w:val="22"/>
        </w:rPr>
      </w:pPr>
      <w:r w:rsidRPr="00DF1D87">
        <w:rPr>
          <w:rFonts w:ascii="Times New Roman" w:hAnsi="Times New Roman" w:cs="Times New Roman"/>
          <w:b/>
          <w:color w:val="auto"/>
          <w:sz w:val="22"/>
          <w:szCs w:val="22"/>
        </w:rPr>
        <w:lastRenderedPageBreak/>
        <w:t xml:space="preserve">Grafički prikaz broj </w:t>
      </w:r>
      <w:r w:rsidR="00EA2D87">
        <w:rPr>
          <w:rFonts w:ascii="Times New Roman" w:hAnsi="Times New Roman" w:cs="Times New Roman"/>
          <w:b/>
          <w:color w:val="auto"/>
          <w:sz w:val="22"/>
          <w:szCs w:val="22"/>
        </w:rPr>
        <w:t>5</w:t>
      </w:r>
      <w:r w:rsidR="005D74B7" w:rsidRPr="00DF1D87">
        <w:rPr>
          <w:rFonts w:ascii="Times New Roman" w:hAnsi="Times New Roman" w:cs="Times New Roman"/>
          <w:b/>
          <w:color w:val="auto"/>
          <w:sz w:val="22"/>
          <w:szCs w:val="22"/>
        </w:rPr>
        <w:t xml:space="preserve">. : </w:t>
      </w:r>
      <w:r w:rsidR="005D74B7" w:rsidRPr="00DF1D87">
        <w:rPr>
          <w:rFonts w:ascii="Times New Roman" w:hAnsi="Times New Roman" w:cs="Times New Roman"/>
          <w:i/>
          <w:color w:val="auto"/>
          <w:sz w:val="22"/>
          <w:szCs w:val="22"/>
        </w:rPr>
        <w:t>Prikaz definiranih programa Općine Oprtalj u praćenju realizacije</w:t>
      </w:r>
      <w:r w:rsidR="00817A78" w:rsidRPr="00DF1D87">
        <w:rPr>
          <w:rFonts w:ascii="Times New Roman" w:hAnsi="Times New Roman" w:cs="Times New Roman"/>
          <w:i/>
          <w:color w:val="auto"/>
          <w:sz w:val="22"/>
          <w:szCs w:val="22"/>
        </w:rPr>
        <w:t xml:space="preserve"> </w:t>
      </w:r>
      <w:r w:rsidR="005D74B7" w:rsidRPr="00DF1D87">
        <w:rPr>
          <w:rFonts w:ascii="Times New Roman" w:hAnsi="Times New Roman" w:cs="Times New Roman"/>
          <w:i/>
          <w:color w:val="auto"/>
          <w:sz w:val="22"/>
          <w:szCs w:val="22"/>
        </w:rPr>
        <w:t>Proračuna za 20</w:t>
      </w:r>
      <w:r w:rsidR="00A12C54" w:rsidRPr="00DF1D87">
        <w:rPr>
          <w:rFonts w:ascii="Times New Roman" w:hAnsi="Times New Roman" w:cs="Times New Roman"/>
          <w:i/>
          <w:color w:val="auto"/>
          <w:sz w:val="22"/>
          <w:szCs w:val="22"/>
        </w:rPr>
        <w:t>2</w:t>
      </w:r>
      <w:r w:rsidR="00565ECF">
        <w:rPr>
          <w:rFonts w:ascii="Times New Roman" w:hAnsi="Times New Roman" w:cs="Times New Roman"/>
          <w:i/>
          <w:color w:val="auto"/>
          <w:sz w:val="22"/>
          <w:szCs w:val="22"/>
        </w:rPr>
        <w:t>5</w:t>
      </w:r>
      <w:r w:rsidR="005D74B7" w:rsidRPr="00DF1D87">
        <w:rPr>
          <w:rFonts w:ascii="Times New Roman" w:hAnsi="Times New Roman" w:cs="Times New Roman"/>
          <w:i/>
          <w:color w:val="auto"/>
          <w:sz w:val="22"/>
          <w:szCs w:val="22"/>
        </w:rPr>
        <w:t>. godinu</w:t>
      </w:r>
    </w:p>
    <w:p w14:paraId="7482B012" w14:textId="77777777" w:rsidR="005D74B7" w:rsidRPr="00554B7D" w:rsidRDefault="005D74B7" w:rsidP="00554B7D">
      <w:pPr>
        <w:pStyle w:val="Default"/>
        <w:rPr>
          <w:rFonts w:ascii="Times New Roman" w:hAnsi="Times New Roman" w:cs="Times New Roman"/>
        </w:rPr>
        <w:sectPr w:rsidR="005D74B7" w:rsidRPr="00554B7D" w:rsidSect="00815700">
          <w:pgSz w:w="16838" w:h="11906" w:orient="landscape"/>
          <w:pgMar w:top="1418" w:right="1418" w:bottom="1418" w:left="1418" w:header="709" w:footer="709" w:gutter="0"/>
          <w:cols w:space="708"/>
          <w:docGrid w:linePitch="360"/>
        </w:sectPr>
      </w:pPr>
      <w:r>
        <w:rPr>
          <w:rFonts w:ascii="Times New Roman" w:hAnsi="Times New Roman" w:cs="Times New Roman"/>
          <w:noProof/>
          <w:lang w:eastAsia="hr-HR"/>
        </w:rPr>
        <w:drawing>
          <wp:inline distT="0" distB="0" distL="0" distR="0" wp14:anchorId="4D6C6BA4" wp14:editId="536A4EBD">
            <wp:extent cx="9182100" cy="4924425"/>
            <wp:effectExtent l="76200" t="0" r="95250" b="9525"/>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4A9A6F0" w14:textId="77777777" w:rsidR="005D74B7" w:rsidRPr="007A1751" w:rsidRDefault="005D74B7" w:rsidP="000C4C9D">
      <w:pPr>
        <w:spacing w:after="0" w:line="240" w:lineRule="auto"/>
        <w:jc w:val="both"/>
        <w:rPr>
          <w:rFonts w:ascii="Times New Roman" w:hAnsi="Times New Roman"/>
        </w:rPr>
      </w:pPr>
      <w:r w:rsidRPr="003A58D6">
        <w:rPr>
          <w:rFonts w:ascii="Times New Roman" w:hAnsi="Times New Roman"/>
        </w:rPr>
        <w:lastRenderedPageBreak/>
        <w:t xml:space="preserve">Rashodi poslovanja i rashodi za nabavu nefinancijske imovine, te izdaci za otplatu zajmova  iskazani su u posebnom dijelu proračuna u razdjelima prema proračunskim klasifikacijama. U nastavku slijedi </w:t>
      </w:r>
      <w:r w:rsidRPr="007A1751">
        <w:rPr>
          <w:rFonts w:ascii="Times New Roman" w:hAnsi="Times New Roman"/>
        </w:rPr>
        <w:t>slikoviti i opisni prikaz realizacije rashoda i izdataka poslovanja po programskoj klasifikaciji.</w:t>
      </w:r>
    </w:p>
    <w:p w14:paraId="0B761D88" w14:textId="77777777" w:rsidR="000C4C9D" w:rsidRPr="007A1751" w:rsidRDefault="000C4C9D" w:rsidP="000C4C9D">
      <w:pPr>
        <w:spacing w:after="0" w:line="240" w:lineRule="auto"/>
        <w:jc w:val="both"/>
        <w:rPr>
          <w:rFonts w:ascii="Times New Roman" w:hAnsi="Times New Roman"/>
        </w:rPr>
      </w:pPr>
    </w:p>
    <w:p w14:paraId="6FF35F01" w14:textId="77777777" w:rsidR="007A1751" w:rsidRDefault="007A1751" w:rsidP="007A1751">
      <w:pPr>
        <w:pStyle w:val="Heading4"/>
        <w:spacing w:before="0" w:line="240" w:lineRule="auto"/>
        <w:ind w:right="139"/>
        <w:jc w:val="center"/>
        <w:rPr>
          <w:rFonts w:ascii="Times New Roman" w:hAnsi="Times New Roman" w:cs="Times New Roman"/>
          <w:b/>
          <w:i w:val="0"/>
          <w:color w:val="auto"/>
          <w:w w:val="120"/>
        </w:rPr>
      </w:pPr>
    </w:p>
    <w:p w14:paraId="3878CDAB" w14:textId="4F526DA9" w:rsidR="007A1751" w:rsidRPr="007A1751" w:rsidRDefault="007A1751" w:rsidP="007A1751">
      <w:pPr>
        <w:pStyle w:val="Heading4"/>
        <w:spacing w:before="0" w:line="240" w:lineRule="auto"/>
        <w:ind w:right="139"/>
        <w:jc w:val="center"/>
        <w:rPr>
          <w:rFonts w:ascii="Times New Roman" w:hAnsi="Times New Roman" w:cs="Times New Roman"/>
          <w:b/>
          <w:i w:val="0"/>
          <w:color w:val="auto"/>
        </w:rPr>
      </w:pPr>
      <w:r w:rsidRPr="007A1751">
        <w:rPr>
          <w:rFonts w:ascii="Times New Roman" w:hAnsi="Times New Roman" w:cs="Times New Roman"/>
          <w:b/>
          <w:i w:val="0"/>
          <w:color w:val="auto"/>
          <w:w w:val="120"/>
        </w:rPr>
        <w:t>OPĆINSKO VIJEĆE, OPĆINSKI NAČELNIK</w:t>
      </w:r>
    </w:p>
    <w:p w14:paraId="734B1777" w14:textId="5A46D0EB" w:rsidR="007A1751" w:rsidRPr="007A1751" w:rsidRDefault="007A1751" w:rsidP="007A1751">
      <w:pPr>
        <w:pStyle w:val="Heading5"/>
        <w:spacing w:before="0" w:line="240" w:lineRule="auto"/>
        <w:ind w:right="139"/>
        <w:jc w:val="center"/>
        <w:rPr>
          <w:rFonts w:ascii="Times New Roman" w:hAnsi="Times New Roman" w:cs="Times New Roman"/>
          <w:b/>
          <w:color w:val="auto"/>
        </w:rPr>
      </w:pPr>
      <w:r w:rsidRPr="007A1751">
        <w:rPr>
          <w:rFonts w:ascii="Times New Roman" w:hAnsi="Times New Roman" w:cs="Times New Roman"/>
          <w:b/>
          <w:color w:val="auto"/>
          <w:w w:val="115"/>
        </w:rPr>
        <w:t>Program 1001: MJERE I AKTIVNOSTI ZA OSIGURANJE RADA IZ DJELOKRUGA IZVRŠNE VLASTI</w:t>
      </w:r>
      <w:r>
        <w:rPr>
          <w:rFonts w:ascii="Times New Roman" w:hAnsi="Times New Roman" w:cs="Times New Roman"/>
          <w:b/>
          <w:color w:val="auto"/>
          <w:w w:val="115"/>
        </w:rPr>
        <w:t xml:space="preserve"> I Program 1002</w:t>
      </w:r>
      <w:r w:rsidRPr="007A1751">
        <w:rPr>
          <w:rFonts w:ascii="Times New Roman" w:hAnsi="Times New Roman" w:cs="Times New Roman"/>
          <w:b/>
          <w:color w:val="auto"/>
          <w:w w:val="115"/>
        </w:rPr>
        <w:t xml:space="preserve">: MJERE I AKTIVNOSTI ZA OSIGURANJE RADA IZ DJELOKRUGA </w:t>
      </w:r>
      <w:r>
        <w:rPr>
          <w:rFonts w:ascii="Times New Roman" w:hAnsi="Times New Roman" w:cs="Times New Roman"/>
          <w:b/>
          <w:color w:val="auto"/>
          <w:w w:val="115"/>
        </w:rPr>
        <w:t>PREDSTAVNIČKE VLASTI</w:t>
      </w:r>
      <w:r w:rsidRPr="007A1751">
        <w:rPr>
          <w:rFonts w:ascii="Times New Roman" w:hAnsi="Times New Roman" w:cs="Times New Roman"/>
          <w:b/>
          <w:color w:val="auto"/>
          <w:w w:val="115"/>
        </w:rPr>
        <w:t xml:space="preserve"> VLASTI</w:t>
      </w:r>
    </w:p>
    <w:p w14:paraId="0D76E28E" w14:textId="7E4334BC" w:rsidR="007A1751" w:rsidRPr="007A1751" w:rsidRDefault="007A1751" w:rsidP="007A1751">
      <w:pPr>
        <w:pStyle w:val="Heading5"/>
        <w:spacing w:before="0" w:line="240" w:lineRule="auto"/>
        <w:ind w:right="139"/>
        <w:jc w:val="center"/>
        <w:rPr>
          <w:rFonts w:ascii="Times New Roman" w:hAnsi="Times New Roman" w:cs="Times New Roman"/>
          <w:b/>
          <w:color w:val="auto"/>
        </w:rPr>
      </w:pPr>
    </w:p>
    <w:p w14:paraId="54186663" w14:textId="77777777" w:rsidR="007A1751" w:rsidRPr="007A1751" w:rsidRDefault="007A1751" w:rsidP="000C4C9D">
      <w:pPr>
        <w:spacing w:after="0" w:line="240" w:lineRule="auto"/>
        <w:jc w:val="both"/>
        <w:rPr>
          <w:rFonts w:ascii="Times New Roman" w:hAnsi="Times New Roman"/>
        </w:rPr>
      </w:pPr>
    </w:p>
    <w:p w14:paraId="4D57A3CD" w14:textId="04D40033" w:rsidR="005D74B7" w:rsidRPr="003A58D6" w:rsidRDefault="007A1751" w:rsidP="000C4C9D">
      <w:pPr>
        <w:spacing w:after="0" w:line="240" w:lineRule="auto"/>
        <w:jc w:val="both"/>
        <w:rPr>
          <w:rFonts w:ascii="Times New Roman" w:hAnsi="Times New Roman"/>
        </w:rPr>
      </w:pPr>
      <w:r w:rsidRPr="003A58D6">
        <w:rPr>
          <w:rFonts w:ascii="Times New Roman" w:hAnsi="Times New Roman"/>
          <w:b/>
        </w:rPr>
        <w:t>Rashodi izvršne vlasti</w:t>
      </w:r>
      <w:r w:rsidR="004B77B8" w:rsidRPr="003A58D6">
        <w:rPr>
          <w:rFonts w:ascii="Times New Roman" w:hAnsi="Times New Roman"/>
        </w:rPr>
        <w:t xml:space="preserve"> </w:t>
      </w:r>
      <w:r w:rsidR="003A58D6">
        <w:rPr>
          <w:rFonts w:ascii="Times New Roman" w:hAnsi="Times New Roman"/>
        </w:rPr>
        <w:t>u 2025</w:t>
      </w:r>
      <w:r w:rsidR="00292854" w:rsidRPr="003A58D6">
        <w:rPr>
          <w:rFonts w:ascii="Times New Roman" w:hAnsi="Times New Roman"/>
        </w:rPr>
        <w:t>. godini</w:t>
      </w:r>
      <w:r w:rsidR="005D74B7" w:rsidRPr="003A58D6">
        <w:rPr>
          <w:rFonts w:ascii="Times New Roman" w:hAnsi="Times New Roman"/>
        </w:rPr>
        <w:t xml:space="preserve"> realizirani su u iznosu od </w:t>
      </w:r>
      <w:r w:rsidR="003A58D6">
        <w:rPr>
          <w:rFonts w:ascii="Times New Roman" w:hAnsi="Times New Roman"/>
        </w:rPr>
        <w:t>61.821,77</w:t>
      </w:r>
      <w:r w:rsidR="001248DC" w:rsidRPr="003A58D6">
        <w:rPr>
          <w:rFonts w:ascii="Times New Roman" w:hAnsi="Times New Roman"/>
        </w:rPr>
        <w:t xml:space="preserve"> EUR</w:t>
      </w:r>
      <w:r w:rsidR="005D74B7" w:rsidRPr="003A58D6">
        <w:rPr>
          <w:rFonts w:ascii="Times New Roman" w:hAnsi="Times New Roman"/>
        </w:rPr>
        <w:t xml:space="preserve">. Pod navedenim programom podrazumijeva se obavljanje slijedećih poslova: pravni i savjetodavni poslovi iz djelokruga redovnih poslova </w:t>
      </w:r>
      <w:r w:rsidR="00D76BB6" w:rsidRPr="003A58D6">
        <w:rPr>
          <w:rFonts w:ascii="Times New Roman" w:hAnsi="Times New Roman"/>
        </w:rPr>
        <w:t xml:space="preserve">izvršne vlasti </w:t>
      </w:r>
      <w:r w:rsidR="005D74B7" w:rsidRPr="003A58D6">
        <w:rPr>
          <w:rFonts w:ascii="Times New Roman" w:hAnsi="Times New Roman"/>
        </w:rPr>
        <w:t xml:space="preserve">u dijelu koji propisuju opći akti koje je donio načelnik ili općinsko vijeće, statusno pravo, nadzori zakonitosti za koje je ovlašten načelnik; radno zakonodavstvo; poslovi vezani za provođenje propisa koji reguliraju zaštitu od sukoba interesa dužnosnika; i druge poslove koji su zakonom propisani. </w:t>
      </w:r>
    </w:p>
    <w:p w14:paraId="3633CE8F" w14:textId="77777777" w:rsidR="005D74B7" w:rsidRDefault="005D74B7" w:rsidP="005D74B7">
      <w:pPr>
        <w:spacing w:after="0" w:line="240" w:lineRule="auto"/>
        <w:ind w:right="70"/>
        <w:jc w:val="both"/>
        <w:rPr>
          <w:rFonts w:ascii="Times New Roman" w:hAnsi="Times New Roman"/>
          <w:sz w:val="24"/>
          <w:szCs w:val="24"/>
        </w:rPr>
      </w:pPr>
    </w:p>
    <w:p w14:paraId="7C880AAE" w14:textId="77777777" w:rsidR="005D74B7" w:rsidRDefault="005D74B7" w:rsidP="005D74B7">
      <w:pPr>
        <w:spacing w:after="0" w:line="240" w:lineRule="auto"/>
        <w:ind w:right="70"/>
        <w:jc w:val="both"/>
        <w:rPr>
          <w:rFonts w:ascii="Times New Roman" w:hAnsi="Times New Roman"/>
          <w:sz w:val="24"/>
          <w:szCs w:val="24"/>
        </w:rPr>
      </w:pPr>
    </w:p>
    <w:p w14:paraId="0A0EA109" w14:textId="77777777" w:rsidR="005D74B7" w:rsidRDefault="005D74B7" w:rsidP="005D74B7">
      <w:pPr>
        <w:spacing w:after="0" w:line="240" w:lineRule="auto"/>
        <w:ind w:right="70"/>
        <w:jc w:val="both"/>
        <w:rPr>
          <w:rFonts w:ascii="Times New Roman" w:hAnsi="Times New Roman"/>
          <w:sz w:val="24"/>
          <w:szCs w:val="24"/>
        </w:rPr>
      </w:pPr>
    </w:p>
    <w:p w14:paraId="6E44986E" w14:textId="77777777" w:rsidR="005D74B7" w:rsidRDefault="005D74B7" w:rsidP="005D74B7">
      <w:pPr>
        <w:spacing w:after="0" w:line="240" w:lineRule="auto"/>
        <w:ind w:right="70"/>
        <w:jc w:val="both"/>
        <w:rPr>
          <w:rFonts w:ascii="Times New Roman" w:hAnsi="Times New Roman"/>
          <w:sz w:val="24"/>
          <w:szCs w:val="24"/>
        </w:rPr>
      </w:pPr>
    </w:p>
    <w:p w14:paraId="58989CB6" w14:textId="77777777" w:rsidR="005D74B7" w:rsidRDefault="005D74B7" w:rsidP="005D74B7">
      <w:pPr>
        <w:spacing w:after="0" w:line="240" w:lineRule="auto"/>
        <w:ind w:right="70"/>
        <w:jc w:val="both"/>
        <w:rPr>
          <w:rFonts w:ascii="Times New Roman" w:hAnsi="Times New Roman"/>
          <w:sz w:val="24"/>
          <w:szCs w:val="24"/>
        </w:rPr>
      </w:pPr>
    </w:p>
    <w:p w14:paraId="71C0C98E" w14:textId="77777777" w:rsidR="005D74B7" w:rsidRDefault="005D74B7" w:rsidP="005D74B7">
      <w:pPr>
        <w:spacing w:after="0" w:line="240" w:lineRule="auto"/>
        <w:ind w:right="70"/>
        <w:jc w:val="both"/>
        <w:rPr>
          <w:rFonts w:ascii="Times New Roman" w:hAnsi="Times New Roman"/>
          <w:sz w:val="24"/>
          <w:szCs w:val="24"/>
        </w:rPr>
      </w:pPr>
    </w:p>
    <w:p w14:paraId="0C014BD1" w14:textId="77777777" w:rsidR="005D74B7" w:rsidRDefault="005D74B7" w:rsidP="005D74B7">
      <w:pPr>
        <w:spacing w:after="0" w:line="240" w:lineRule="auto"/>
        <w:ind w:right="70"/>
        <w:jc w:val="both"/>
        <w:rPr>
          <w:rFonts w:ascii="Times New Roman" w:hAnsi="Times New Roman"/>
          <w:sz w:val="24"/>
          <w:szCs w:val="24"/>
        </w:rPr>
      </w:pPr>
    </w:p>
    <w:p w14:paraId="28C654E3" w14:textId="77777777" w:rsidR="005D74B7" w:rsidRDefault="005D74B7" w:rsidP="005D74B7">
      <w:pPr>
        <w:spacing w:after="0" w:line="240" w:lineRule="auto"/>
        <w:ind w:right="70"/>
        <w:jc w:val="both"/>
        <w:rPr>
          <w:rFonts w:ascii="Times New Roman" w:hAnsi="Times New Roman"/>
          <w:sz w:val="24"/>
          <w:szCs w:val="24"/>
        </w:rPr>
      </w:pPr>
    </w:p>
    <w:p w14:paraId="5BB358A3" w14:textId="77777777" w:rsidR="005D74B7" w:rsidRDefault="005D74B7" w:rsidP="005D74B7">
      <w:pPr>
        <w:spacing w:after="0" w:line="240" w:lineRule="auto"/>
        <w:ind w:right="70"/>
        <w:jc w:val="both"/>
        <w:rPr>
          <w:rFonts w:ascii="Times New Roman" w:hAnsi="Times New Roman"/>
          <w:sz w:val="24"/>
          <w:szCs w:val="24"/>
        </w:rPr>
      </w:pPr>
    </w:p>
    <w:p w14:paraId="0A5C4CB2" w14:textId="77777777" w:rsidR="005D74B7" w:rsidRDefault="005D74B7" w:rsidP="005D74B7">
      <w:pPr>
        <w:spacing w:after="0" w:line="240" w:lineRule="auto"/>
        <w:ind w:right="70"/>
        <w:jc w:val="both"/>
        <w:rPr>
          <w:rFonts w:ascii="Times New Roman" w:hAnsi="Times New Roman"/>
          <w:sz w:val="24"/>
          <w:szCs w:val="24"/>
        </w:rPr>
      </w:pPr>
    </w:p>
    <w:p w14:paraId="11F6F639" w14:textId="77777777" w:rsidR="005D74B7" w:rsidRDefault="005D74B7" w:rsidP="005D74B7">
      <w:pPr>
        <w:spacing w:after="0" w:line="240" w:lineRule="auto"/>
        <w:ind w:right="70"/>
        <w:jc w:val="both"/>
        <w:rPr>
          <w:rFonts w:ascii="Times New Roman" w:hAnsi="Times New Roman"/>
          <w:sz w:val="24"/>
          <w:szCs w:val="24"/>
        </w:rPr>
      </w:pPr>
    </w:p>
    <w:p w14:paraId="4A50ACF7" w14:textId="77777777" w:rsidR="005D74B7" w:rsidRDefault="005D74B7" w:rsidP="005D74B7">
      <w:pPr>
        <w:spacing w:after="0" w:line="240" w:lineRule="auto"/>
        <w:ind w:right="70"/>
        <w:jc w:val="both"/>
        <w:rPr>
          <w:rFonts w:ascii="Times New Roman" w:hAnsi="Times New Roman"/>
          <w:sz w:val="24"/>
          <w:szCs w:val="24"/>
        </w:rPr>
      </w:pPr>
    </w:p>
    <w:p w14:paraId="14086BC8" w14:textId="77777777" w:rsidR="005D74B7" w:rsidRDefault="005D74B7" w:rsidP="005D74B7">
      <w:pPr>
        <w:spacing w:after="0" w:line="240" w:lineRule="auto"/>
        <w:ind w:right="70"/>
        <w:jc w:val="both"/>
        <w:rPr>
          <w:rFonts w:ascii="Times New Roman" w:hAnsi="Times New Roman"/>
          <w:sz w:val="24"/>
          <w:szCs w:val="24"/>
        </w:rPr>
      </w:pPr>
    </w:p>
    <w:p w14:paraId="221B8849" w14:textId="77777777" w:rsidR="005D74B7" w:rsidRDefault="005D74B7" w:rsidP="005D74B7">
      <w:pPr>
        <w:spacing w:after="0" w:line="240" w:lineRule="auto"/>
        <w:ind w:right="70"/>
        <w:jc w:val="both"/>
        <w:rPr>
          <w:rFonts w:ascii="Times New Roman" w:hAnsi="Times New Roman"/>
          <w:sz w:val="24"/>
          <w:szCs w:val="24"/>
        </w:rPr>
      </w:pPr>
    </w:p>
    <w:p w14:paraId="15482DF1" w14:textId="77777777" w:rsidR="005D74B7" w:rsidRDefault="005D74B7" w:rsidP="005D74B7">
      <w:pPr>
        <w:spacing w:after="0" w:line="240" w:lineRule="auto"/>
        <w:ind w:right="70"/>
        <w:jc w:val="both"/>
        <w:rPr>
          <w:rFonts w:ascii="Times New Roman" w:hAnsi="Times New Roman"/>
          <w:sz w:val="24"/>
          <w:szCs w:val="24"/>
        </w:rPr>
      </w:pPr>
    </w:p>
    <w:p w14:paraId="0D172CBA" w14:textId="77777777" w:rsidR="005D74B7" w:rsidRDefault="005D74B7" w:rsidP="005D74B7">
      <w:pPr>
        <w:spacing w:after="0" w:line="240" w:lineRule="auto"/>
        <w:ind w:right="70"/>
        <w:jc w:val="both"/>
        <w:rPr>
          <w:rFonts w:ascii="Times New Roman" w:hAnsi="Times New Roman"/>
          <w:sz w:val="24"/>
          <w:szCs w:val="24"/>
        </w:rPr>
      </w:pPr>
    </w:p>
    <w:p w14:paraId="4D1B9B8F" w14:textId="77777777" w:rsidR="005D74B7" w:rsidRDefault="005D74B7" w:rsidP="005D74B7">
      <w:pPr>
        <w:spacing w:after="0" w:line="240" w:lineRule="auto"/>
        <w:ind w:right="70"/>
        <w:jc w:val="both"/>
        <w:rPr>
          <w:rFonts w:ascii="Times New Roman" w:hAnsi="Times New Roman"/>
          <w:sz w:val="24"/>
          <w:szCs w:val="24"/>
        </w:rPr>
      </w:pPr>
    </w:p>
    <w:p w14:paraId="372B9B6F" w14:textId="77777777" w:rsidR="005D74B7" w:rsidRDefault="005D74B7" w:rsidP="005D74B7">
      <w:pPr>
        <w:spacing w:after="0" w:line="240" w:lineRule="auto"/>
        <w:ind w:right="70"/>
        <w:jc w:val="both"/>
        <w:rPr>
          <w:rFonts w:ascii="Times New Roman" w:hAnsi="Times New Roman"/>
          <w:sz w:val="24"/>
          <w:szCs w:val="24"/>
        </w:rPr>
      </w:pPr>
    </w:p>
    <w:p w14:paraId="1EF6CD0A" w14:textId="77777777" w:rsidR="005D74B7" w:rsidRDefault="005D74B7" w:rsidP="005D74B7">
      <w:pPr>
        <w:spacing w:after="0" w:line="240" w:lineRule="auto"/>
        <w:ind w:right="70"/>
        <w:jc w:val="both"/>
        <w:rPr>
          <w:rFonts w:ascii="Times New Roman" w:hAnsi="Times New Roman"/>
          <w:sz w:val="24"/>
          <w:szCs w:val="24"/>
        </w:rPr>
      </w:pPr>
    </w:p>
    <w:p w14:paraId="7D24B8B1" w14:textId="77777777" w:rsidR="005D74B7" w:rsidRDefault="005D74B7" w:rsidP="005D74B7">
      <w:pPr>
        <w:spacing w:after="0" w:line="240" w:lineRule="auto"/>
        <w:ind w:right="70"/>
        <w:jc w:val="both"/>
        <w:rPr>
          <w:rFonts w:ascii="Times New Roman" w:hAnsi="Times New Roman"/>
          <w:sz w:val="24"/>
          <w:szCs w:val="24"/>
        </w:rPr>
      </w:pPr>
    </w:p>
    <w:p w14:paraId="04CE6A1F" w14:textId="77777777" w:rsidR="005D74B7" w:rsidRDefault="005D74B7" w:rsidP="005D74B7">
      <w:pPr>
        <w:pStyle w:val="Default"/>
        <w:jc w:val="both"/>
        <w:rPr>
          <w:rFonts w:ascii="Times New Roman" w:hAnsi="Times New Roman" w:cs="Times New Roman"/>
          <w:b/>
          <w:color w:val="auto"/>
        </w:rPr>
        <w:sectPr w:rsidR="005D74B7" w:rsidSect="003D1492">
          <w:pgSz w:w="11906" w:h="16838"/>
          <w:pgMar w:top="1418" w:right="1418" w:bottom="1418" w:left="1418" w:header="708" w:footer="708" w:gutter="0"/>
          <w:cols w:space="708"/>
          <w:docGrid w:linePitch="360"/>
        </w:sectPr>
      </w:pPr>
    </w:p>
    <w:p w14:paraId="7DC9D8A3" w14:textId="4BB24AF8" w:rsidR="005D74B7" w:rsidRPr="001248DC" w:rsidRDefault="00A764BC" w:rsidP="005D74B7">
      <w:pPr>
        <w:pStyle w:val="Default"/>
        <w:jc w:val="both"/>
        <w:rPr>
          <w:rFonts w:ascii="Times New Roman" w:hAnsi="Times New Roman" w:cs="Times New Roman"/>
          <w:i/>
          <w:color w:val="auto"/>
          <w:sz w:val="22"/>
          <w:szCs w:val="22"/>
        </w:rPr>
      </w:pPr>
      <w:r w:rsidRPr="001248DC">
        <w:rPr>
          <w:rFonts w:ascii="Times New Roman" w:hAnsi="Times New Roman" w:cs="Times New Roman"/>
          <w:b/>
          <w:color w:val="auto"/>
          <w:sz w:val="22"/>
          <w:szCs w:val="22"/>
        </w:rPr>
        <w:lastRenderedPageBreak/>
        <w:t xml:space="preserve">Grafički prikaz broj </w:t>
      </w:r>
      <w:r w:rsidR="00EA2D87">
        <w:rPr>
          <w:rFonts w:ascii="Times New Roman" w:hAnsi="Times New Roman" w:cs="Times New Roman"/>
          <w:b/>
          <w:color w:val="auto"/>
          <w:sz w:val="22"/>
          <w:szCs w:val="22"/>
        </w:rPr>
        <w:t>6</w:t>
      </w:r>
      <w:r w:rsidR="005D74B7" w:rsidRPr="001248DC">
        <w:rPr>
          <w:rFonts w:ascii="Times New Roman" w:hAnsi="Times New Roman" w:cs="Times New Roman"/>
          <w:b/>
          <w:color w:val="auto"/>
          <w:sz w:val="22"/>
          <w:szCs w:val="22"/>
        </w:rPr>
        <w:t xml:space="preserve">. : </w:t>
      </w:r>
      <w:r w:rsidR="00480111" w:rsidRPr="00783746">
        <w:rPr>
          <w:rFonts w:ascii="Times New Roman" w:hAnsi="Times New Roman"/>
          <w:iCs/>
          <w:sz w:val="22"/>
          <w:szCs w:val="22"/>
        </w:rPr>
        <w:t>U</w:t>
      </w:r>
      <w:r w:rsidR="00480111" w:rsidRPr="00783746">
        <w:rPr>
          <w:rFonts w:ascii="Times New Roman" w:hAnsi="Times New Roman"/>
          <w:bCs/>
          <w:iCs/>
          <w:sz w:val="22"/>
          <w:szCs w:val="22"/>
        </w:rPr>
        <w:t xml:space="preserve">sporedni prikaz realizacije Programa </w:t>
      </w:r>
      <w:r w:rsidR="00480111" w:rsidRPr="00783746">
        <w:rPr>
          <w:rFonts w:ascii="Times New Roman" w:hAnsi="Times New Roman"/>
          <w:b/>
          <w:iCs/>
          <w:sz w:val="22"/>
          <w:szCs w:val="22"/>
        </w:rPr>
        <w:t>„Mjere i aktivnosti za osiguranje rada iz djelokruga izvršne vlasti“</w:t>
      </w:r>
      <w:r w:rsidR="00480111" w:rsidRPr="00783746">
        <w:rPr>
          <w:rFonts w:ascii="Times New Roman" w:hAnsi="Times New Roman"/>
          <w:bCs/>
          <w:iCs/>
          <w:sz w:val="22"/>
          <w:szCs w:val="22"/>
        </w:rPr>
        <w:t xml:space="preserve"> </w:t>
      </w:r>
      <w:r w:rsidR="00480111" w:rsidRPr="00783746">
        <w:rPr>
          <w:rFonts w:ascii="Times New Roman" w:hAnsi="Times New Roman"/>
          <w:iCs/>
          <w:sz w:val="22"/>
          <w:szCs w:val="22"/>
        </w:rPr>
        <w:t xml:space="preserve"> </w:t>
      </w:r>
      <w:r w:rsidR="00480111" w:rsidRPr="00783746">
        <w:rPr>
          <w:rFonts w:ascii="Times New Roman" w:hAnsi="Times New Roman"/>
          <w:bCs/>
          <w:iCs/>
          <w:sz w:val="22"/>
          <w:szCs w:val="22"/>
        </w:rPr>
        <w:t xml:space="preserve">od 01. siječnja do </w:t>
      </w:r>
      <w:r w:rsidR="007E0B51">
        <w:rPr>
          <w:rFonts w:ascii="Times New Roman" w:hAnsi="Times New Roman"/>
          <w:bCs/>
          <w:iCs/>
          <w:sz w:val="22"/>
          <w:szCs w:val="22"/>
        </w:rPr>
        <w:t>31. prosinca</w:t>
      </w:r>
      <w:r w:rsidR="00480111" w:rsidRPr="00783746">
        <w:rPr>
          <w:rFonts w:ascii="Times New Roman" w:hAnsi="Times New Roman"/>
          <w:bCs/>
          <w:iCs/>
          <w:sz w:val="22"/>
          <w:szCs w:val="22"/>
        </w:rPr>
        <w:t xml:space="preserve"> 202</w:t>
      </w:r>
      <w:r w:rsidR="003A58D6">
        <w:rPr>
          <w:rFonts w:ascii="Times New Roman" w:hAnsi="Times New Roman"/>
          <w:bCs/>
          <w:iCs/>
          <w:sz w:val="22"/>
          <w:szCs w:val="22"/>
        </w:rPr>
        <w:t>5</w:t>
      </w:r>
      <w:r w:rsidR="00480111" w:rsidRPr="00783746">
        <w:rPr>
          <w:rFonts w:ascii="Times New Roman" w:hAnsi="Times New Roman"/>
          <w:bCs/>
          <w:iCs/>
          <w:sz w:val="22"/>
          <w:szCs w:val="22"/>
        </w:rPr>
        <w:t>. godine u odnosu na Proračuna za 202</w:t>
      </w:r>
      <w:r w:rsidR="003A58D6">
        <w:rPr>
          <w:rFonts w:ascii="Times New Roman" w:hAnsi="Times New Roman"/>
          <w:bCs/>
          <w:iCs/>
          <w:sz w:val="22"/>
          <w:szCs w:val="22"/>
        </w:rPr>
        <w:t>5</w:t>
      </w:r>
      <w:r w:rsidR="00480111" w:rsidRPr="00783746">
        <w:rPr>
          <w:rFonts w:ascii="Times New Roman" w:hAnsi="Times New Roman"/>
          <w:bCs/>
          <w:iCs/>
          <w:sz w:val="22"/>
          <w:szCs w:val="22"/>
        </w:rPr>
        <w:t>. godinu</w:t>
      </w:r>
      <w:r w:rsidR="00480111" w:rsidRPr="009D61E7">
        <w:rPr>
          <w:rFonts w:ascii="Times New Roman" w:hAnsi="Times New Roman"/>
          <w:bCs/>
          <w:i/>
          <w:sz w:val="22"/>
          <w:szCs w:val="22"/>
        </w:rPr>
        <w:t xml:space="preserve">    </w:t>
      </w:r>
    </w:p>
    <w:p w14:paraId="4388D9F4" w14:textId="77777777" w:rsidR="005D74B7" w:rsidRPr="00D95002" w:rsidRDefault="005D74B7" w:rsidP="005D74B7">
      <w:pPr>
        <w:pStyle w:val="Default"/>
        <w:jc w:val="both"/>
        <w:rPr>
          <w:rFonts w:ascii="Times New Roman" w:hAnsi="Times New Roman" w:cs="Times New Roman"/>
          <w:color w:val="auto"/>
        </w:rPr>
      </w:pPr>
    </w:p>
    <w:p w14:paraId="741E3F7A" w14:textId="5D7C387F" w:rsidR="005D74B7" w:rsidRDefault="003A58D6" w:rsidP="005D74B7">
      <w:pPr>
        <w:jc w:val="both"/>
        <w:rPr>
          <w:rFonts w:ascii="Times New Roman" w:hAnsi="Times New Roman"/>
          <w:sz w:val="24"/>
          <w:szCs w:val="24"/>
        </w:rPr>
        <w:sectPr w:rsidR="005D74B7" w:rsidSect="001B565E">
          <w:pgSz w:w="16838" w:h="11906" w:orient="landscape"/>
          <w:pgMar w:top="1418" w:right="1418" w:bottom="1418" w:left="1418" w:header="709" w:footer="709" w:gutter="0"/>
          <w:cols w:space="708"/>
          <w:docGrid w:linePitch="360"/>
        </w:sectPr>
      </w:pPr>
      <w:r>
        <w:rPr>
          <w:noProof/>
        </w:rPr>
        <w:drawing>
          <wp:inline distT="0" distB="0" distL="0" distR="0" wp14:anchorId="0190455E" wp14:editId="130DB8AA">
            <wp:extent cx="8891270" cy="5078095"/>
            <wp:effectExtent l="0" t="0" r="5080" b="8255"/>
            <wp:docPr id="9" name="Chart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76235B" w14:textId="433D5703" w:rsidR="000C4C9D" w:rsidRPr="00E964DA" w:rsidRDefault="007A1751" w:rsidP="00B45B4C">
      <w:pPr>
        <w:spacing w:line="240" w:lineRule="auto"/>
        <w:jc w:val="both"/>
        <w:rPr>
          <w:rFonts w:ascii="Times New Roman" w:hAnsi="Times New Roman"/>
        </w:rPr>
      </w:pPr>
      <w:r w:rsidRPr="00E964DA">
        <w:rPr>
          <w:rFonts w:ascii="Times New Roman" w:hAnsi="Times New Roman"/>
          <w:b/>
        </w:rPr>
        <w:lastRenderedPageBreak/>
        <w:t>Rashodi predstavničke vlasti</w:t>
      </w:r>
      <w:r w:rsidR="004B77B8" w:rsidRPr="00E964DA">
        <w:rPr>
          <w:rFonts w:ascii="Times New Roman" w:hAnsi="Times New Roman"/>
        </w:rPr>
        <w:t xml:space="preserve"> </w:t>
      </w:r>
      <w:r w:rsidR="00DA587F" w:rsidRPr="00E964DA">
        <w:rPr>
          <w:rFonts w:ascii="Times New Roman" w:hAnsi="Times New Roman"/>
        </w:rPr>
        <w:t>u</w:t>
      </w:r>
      <w:r w:rsidR="003909C9" w:rsidRPr="00E964DA">
        <w:rPr>
          <w:rFonts w:ascii="Times New Roman" w:hAnsi="Times New Roman"/>
        </w:rPr>
        <w:t xml:space="preserve"> </w:t>
      </w:r>
      <w:r w:rsidR="00D641AC" w:rsidRPr="00E964DA">
        <w:rPr>
          <w:rFonts w:ascii="Times New Roman" w:hAnsi="Times New Roman"/>
        </w:rPr>
        <w:t>2025</w:t>
      </w:r>
      <w:r w:rsidR="00246BA0" w:rsidRPr="00E964DA">
        <w:rPr>
          <w:rFonts w:ascii="Times New Roman" w:hAnsi="Times New Roman"/>
        </w:rPr>
        <w:t xml:space="preserve">. godini realizirani su u iznosu od </w:t>
      </w:r>
      <w:r w:rsidR="00D641AC" w:rsidRPr="00E964DA">
        <w:rPr>
          <w:rFonts w:ascii="Times New Roman" w:hAnsi="Times New Roman"/>
        </w:rPr>
        <w:t>22.481,98</w:t>
      </w:r>
      <w:r w:rsidR="00246BA0" w:rsidRPr="00E964DA">
        <w:rPr>
          <w:rFonts w:ascii="Times New Roman" w:hAnsi="Times New Roman"/>
        </w:rPr>
        <w:t xml:space="preserve"> EUR</w:t>
      </w:r>
      <w:r w:rsidR="00EA2DEF" w:rsidRPr="00E964DA">
        <w:rPr>
          <w:rFonts w:ascii="Times New Roman" w:hAnsi="Times New Roman"/>
        </w:rPr>
        <w:t>.</w:t>
      </w:r>
      <w:r w:rsidR="00246BA0" w:rsidRPr="00E964DA">
        <w:rPr>
          <w:rFonts w:ascii="Times New Roman" w:hAnsi="Times New Roman"/>
        </w:rPr>
        <w:t xml:space="preserve"> Navedeni se rashodi odnose na isplate naknade predstavničkom tijelu, te financiranju rada političkih stranaka i vijećnika liste grupe birača. Rashodi su </w:t>
      </w:r>
      <w:r w:rsidR="00E964DA">
        <w:rPr>
          <w:rFonts w:ascii="Times New Roman" w:hAnsi="Times New Roman"/>
        </w:rPr>
        <w:t>veći u odnosu na prethodnu, 2024</w:t>
      </w:r>
      <w:r w:rsidR="00246BA0" w:rsidRPr="00E964DA">
        <w:rPr>
          <w:rFonts w:ascii="Times New Roman" w:hAnsi="Times New Roman"/>
        </w:rPr>
        <w:t xml:space="preserve">. godinu za </w:t>
      </w:r>
      <w:r w:rsidR="00E964DA">
        <w:rPr>
          <w:rFonts w:ascii="Times New Roman" w:hAnsi="Times New Roman"/>
        </w:rPr>
        <w:t>više od sedam puta iz razloga što su u 2024</w:t>
      </w:r>
      <w:r w:rsidR="00246BA0" w:rsidRPr="00E964DA">
        <w:rPr>
          <w:rFonts w:ascii="Times New Roman" w:hAnsi="Times New Roman"/>
        </w:rPr>
        <w:t xml:space="preserve">. godini održani </w:t>
      </w:r>
      <w:r w:rsidR="00E964DA">
        <w:rPr>
          <w:rFonts w:ascii="Times New Roman" w:hAnsi="Times New Roman"/>
        </w:rPr>
        <w:t xml:space="preserve">lokalni izbori </w:t>
      </w:r>
      <w:r w:rsidR="00246BA0" w:rsidRPr="00E964DA">
        <w:rPr>
          <w:rFonts w:ascii="Times New Roman" w:hAnsi="Times New Roman"/>
        </w:rPr>
        <w:t>i navedeni je rashod evidentiran u Glavi Općinskog vijeća.</w:t>
      </w:r>
    </w:p>
    <w:p w14:paraId="1A37339A" w14:textId="77777777" w:rsidR="00005EBC" w:rsidRPr="00005EBC" w:rsidRDefault="00005EBC" w:rsidP="00005EBC">
      <w:pPr>
        <w:spacing w:after="0" w:line="240" w:lineRule="auto"/>
        <w:jc w:val="both"/>
        <w:rPr>
          <w:rFonts w:ascii="Times New Roman" w:hAnsi="Times New Roman"/>
        </w:rPr>
      </w:pPr>
      <w:r w:rsidRPr="00005EBC">
        <w:rPr>
          <w:rFonts w:ascii="Times New Roman" w:hAnsi="Times New Roman"/>
          <w:b/>
        </w:rPr>
        <w:t>Cilj</w:t>
      </w:r>
      <w:r>
        <w:rPr>
          <w:rFonts w:ascii="Times New Roman" w:hAnsi="Times New Roman"/>
          <w:b/>
        </w:rPr>
        <w:t xml:space="preserve"> programa predstavničke i izvršne vlasti</w:t>
      </w:r>
      <w:r w:rsidRPr="00005EBC">
        <w:rPr>
          <w:rFonts w:ascii="Times New Roman" w:hAnsi="Times New Roman"/>
          <w:b/>
        </w:rPr>
        <w:t xml:space="preserve">: </w:t>
      </w:r>
      <w:r w:rsidRPr="00005EBC">
        <w:rPr>
          <w:rFonts w:ascii="Times New Roman" w:hAnsi="Times New Roman"/>
          <w:bCs/>
        </w:rPr>
        <w:t xml:space="preserve">Osiguranje rada predstavničkog, izvršnog i ostalih tijela,  protokolarne aktivnosti, upravljanje informacijama i komunikacijama. </w:t>
      </w:r>
      <w:r w:rsidRPr="00005EBC">
        <w:rPr>
          <w:rFonts w:ascii="Times New Roman" w:hAnsi="Times New Roman"/>
        </w:rPr>
        <w:t>Transparentnost rada, zadovoljstvo građana donesenim odlukama, poboljšanje standarda, društvena zbivanja, promidžba općine, jačanje gospodarskih, kulturnih, sportskih i drugih veza.</w:t>
      </w:r>
    </w:p>
    <w:p w14:paraId="52C350BE" w14:textId="77777777" w:rsidR="00005EBC" w:rsidRPr="00005EBC" w:rsidRDefault="00005EBC" w:rsidP="00005EBC">
      <w:pPr>
        <w:spacing w:after="0" w:line="240" w:lineRule="auto"/>
        <w:jc w:val="both"/>
        <w:rPr>
          <w:rFonts w:ascii="Times New Roman" w:hAnsi="Times New Roman"/>
        </w:rPr>
      </w:pPr>
    </w:p>
    <w:p w14:paraId="29FD72E6" w14:textId="77777777" w:rsidR="00005EBC" w:rsidRDefault="00005EBC" w:rsidP="00005EBC">
      <w:pPr>
        <w:spacing w:after="0" w:line="240" w:lineRule="auto"/>
        <w:jc w:val="both"/>
        <w:rPr>
          <w:rFonts w:ascii="Times New Roman" w:hAnsi="Times New Roman"/>
        </w:rPr>
      </w:pPr>
      <w:r w:rsidRPr="00005EBC">
        <w:rPr>
          <w:rFonts w:ascii="Times New Roman" w:hAnsi="Times New Roman"/>
          <w:b/>
          <w:bCs/>
        </w:rPr>
        <w:t>Pokazatelji uspješnosti programa:</w:t>
      </w:r>
    </w:p>
    <w:p w14:paraId="7B2DAE47" w14:textId="77777777" w:rsidR="00005EBC" w:rsidRDefault="00005EBC" w:rsidP="00005EBC">
      <w:pPr>
        <w:pStyle w:val="ListParagraph"/>
        <w:numPr>
          <w:ilvl w:val="0"/>
          <w:numId w:val="16"/>
        </w:numPr>
        <w:spacing w:after="0" w:line="240" w:lineRule="auto"/>
        <w:jc w:val="both"/>
        <w:rPr>
          <w:rFonts w:ascii="Times New Roman" w:hAnsi="Times New Roman"/>
        </w:rPr>
      </w:pPr>
      <w:r w:rsidRPr="00005EBC">
        <w:rPr>
          <w:rFonts w:ascii="Times New Roman" w:hAnsi="Times New Roman"/>
        </w:rPr>
        <w:t xml:space="preserve">broj održanih sjednica </w:t>
      </w:r>
      <w:r>
        <w:rPr>
          <w:rFonts w:ascii="Times New Roman" w:hAnsi="Times New Roman"/>
        </w:rPr>
        <w:t>Općinskog</w:t>
      </w:r>
      <w:r w:rsidRPr="00005EBC">
        <w:rPr>
          <w:rFonts w:ascii="Times New Roman" w:hAnsi="Times New Roman"/>
        </w:rPr>
        <w:t xml:space="preserve"> vijeća u tijeku godine</w:t>
      </w:r>
    </w:p>
    <w:p w14:paraId="2283D9FF" w14:textId="77777777" w:rsidR="00005EBC" w:rsidRDefault="00005EBC" w:rsidP="00005EBC">
      <w:pPr>
        <w:pStyle w:val="ListParagraph"/>
        <w:numPr>
          <w:ilvl w:val="0"/>
          <w:numId w:val="16"/>
        </w:numPr>
        <w:spacing w:after="0" w:line="240" w:lineRule="auto"/>
        <w:jc w:val="both"/>
        <w:rPr>
          <w:rFonts w:ascii="Times New Roman" w:hAnsi="Times New Roman"/>
        </w:rPr>
      </w:pPr>
      <w:r w:rsidRPr="00005EBC">
        <w:rPr>
          <w:rFonts w:ascii="Times New Roman" w:hAnsi="Times New Roman"/>
        </w:rPr>
        <w:t xml:space="preserve">broj donesenih akata od strane </w:t>
      </w:r>
      <w:r>
        <w:rPr>
          <w:rFonts w:ascii="Times New Roman" w:hAnsi="Times New Roman"/>
        </w:rPr>
        <w:t>Načelnika</w:t>
      </w:r>
      <w:r w:rsidRPr="00005EBC">
        <w:rPr>
          <w:rFonts w:ascii="Times New Roman" w:hAnsi="Times New Roman"/>
        </w:rPr>
        <w:t xml:space="preserve"> (pravodobnost donošenja i usklađivanja općih akata sa zakonom)</w:t>
      </w:r>
    </w:p>
    <w:p w14:paraId="374EDD62" w14:textId="77777777" w:rsidR="00005EBC" w:rsidRDefault="00005EBC" w:rsidP="001870D6">
      <w:pPr>
        <w:pStyle w:val="ListParagraph"/>
        <w:numPr>
          <w:ilvl w:val="0"/>
          <w:numId w:val="16"/>
        </w:numPr>
        <w:spacing w:after="0" w:line="240" w:lineRule="auto"/>
        <w:jc w:val="both"/>
        <w:rPr>
          <w:rFonts w:ascii="Times New Roman" w:hAnsi="Times New Roman"/>
        </w:rPr>
      </w:pPr>
      <w:r w:rsidRPr="00005EBC">
        <w:rPr>
          <w:rFonts w:ascii="Times New Roman" w:hAnsi="Times New Roman"/>
        </w:rPr>
        <w:t xml:space="preserve">broj aktivnih sudionika u procesu donošenja općinskih akata (izvršavanje zakonskih obveza te obveza proizišlih iz općih akata grada vezanih za rad predstavničkog tijela, radnih tijela, izvršne vlasti i političkih stranaka) </w:t>
      </w:r>
    </w:p>
    <w:p w14:paraId="678FD8F5" w14:textId="77777777" w:rsidR="00005EBC" w:rsidRDefault="00005EBC" w:rsidP="00005EBC">
      <w:pPr>
        <w:spacing w:after="0" w:line="240" w:lineRule="auto"/>
        <w:jc w:val="both"/>
        <w:rPr>
          <w:rFonts w:ascii="Times New Roman" w:hAnsi="Times New Roman"/>
        </w:rPr>
      </w:pPr>
    </w:p>
    <w:tbl>
      <w:tblPr>
        <w:tblStyle w:val="TableGrid"/>
        <w:tblW w:w="9060" w:type="dxa"/>
        <w:tblLook w:val="04A0" w:firstRow="1" w:lastRow="0" w:firstColumn="1" w:lastColumn="0" w:noHBand="0" w:noVBand="1"/>
      </w:tblPr>
      <w:tblGrid>
        <w:gridCol w:w="2769"/>
        <w:gridCol w:w="3747"/>
        <w:gridCol w:w="1093"/>
        <w:gridCol w:w="1451"/>
      </w:tblGrid>
      <w:tr w:rsidR="002E6F01" w:rsidRPr="00E964DA" w14:paraId="317F52DC" w14:textId="77777777" w:rsidTr="001870D6">
        <w:trPr>
          <w:trHeight w:val="239"/>
        </w:trPr>
        <w:tc>
          <w:tcPr>
            <w:tcW w:w="2769" w:type="dxa"/>
          </w:tcPr>
          <w:p w14:paraId="5E3639D0" w14:textId="77777777" w:rsidR="00C57716" w:rsidRPr="0050250A" w:rsidRDefault="00C57716" w:rsidP="001870D6">
            <w:pPr>
              <w:jc w:val="center"/>
              <w:rPr>
                <w:rFonts w:ascii="Times New Roman" w:hAnsi="Times New Roman"/>
                <w:b/>
                <w:bCs/>
              </w:rPr>
            </w:pPr>
            <w:r w:rsidRPr="0050250A">
              <w:rPr>
                <w:rFonts w:ascii="Times New Roman" w:hAnsi="Times New Roman"/>
                <w:b/>
                <w:bCs/>
              </w:rPr>
              <w:t>NAZIV AKTIVNOSTI</w:t>
            </w:r>
          </w:p>
        </w:tc>
        <w:tc>
          <w:tcPr>
            <w:tcW w:w="3747" w:type="dxa"/>
          </w:tcPr>
          <w:p w14:paraId="6154DC1E" w14:textId="77777777" w:rsidR="00C57716" w:rsidRPr="0050250A" w:rsidRDefault="00C57716" w:rsidP="001870D6">
            <w:pPr>
              <w:jc w:val="center"/>
              <w:rPr>
                <w:rFonts w:ascii="Times New Roman" w:hAnsi="Times New Roman"/>
                <w:b/>
                <w:bCs/>
              </w:rPr>
            </w:pPr>
            <w:r w:rsidRPr="0050250A">
              <w:rPr>
                <w:rFonts w:ascii="Times New Roman" w:hAnsi="Times New Roman"/>
                <w:b/>
                <w:bCs/>
              </w:rPr>
              <w:t>OPIS POKAZATELJA</w:t>
            </w:r>
          </w:p>
        </w:tc>
        <w:tc>
          <w:tcPr>
            <w:tcW w:w="1093" w:type="dxa"/>
          </w:tcPr>
          <w:p w14:paraId="0F8D58E5" w14:textId="77777777" w:rsidR="00C57716" w:rsidRPr="0050250A" w:rsidRDefault="00C57716" w:rsidP="001870D6">
            <w:pPr>
              <w:jc w:val="center"/>
              <w:rPr>
                <w:rFonts w:ascii="Times New Roman" w:hAnsi="Times New Roman"/>
                <w:b/>
                <w:bCs/>
              </w:rPr>
            </w:pPr>
            <w:r w:rsidRPr="0050250A">
              <w:rPr>
                <w:rFonts w:ascii="Times New Roman" w:hAnsi="Times New Roman"/>
                <w:b/>
                <w:bCs/>
              </w:rPr>
              <w:t xml:space="preserve">PLAN </w:t>
            </w:r>
          </w:p>
        </w:tc>
        <w:tc>
          <w:tcPr>
            <w:tcW w:w="1451" w:type="dxa"/>
          </w:tcPr>
          <w:p w14:paraId="3C98158B" w14:textId="77777777" w:rsidR="00C57716" w:rsidRPr="0050250A" w:rsidRDefault="00C57716" w:rsidP="001870D6">
            <w:pPr>
              <w:jc w:val="center"/>
              <w:rPr>
                <w:rFonts w:ascii="Times New Roman" w:hAnsi="Times New Roman"/>
                <w:b/>
                <w:bCs/>
              </w:rPr>
            </w:pPr>
            <w:r w:rsidRPr="0050250A">
              <w:rPr>
                <w:rFonts w:ascii="Times New Roman" w:hAnsi="Times New Roman"/>
                <w:b/>
                <w:bCs/>
              </w:rPr>
              <w:t>IZVRŠENJE</w:t>
            </w:r>
          </w:p>
        </w:tc>
      </w:tr>
      <w:tr w:rsidR="002E6F01" w:rsidRPr="00E964DA" w14:paraId="3BB5D83A" w14:textId="77777777" w:rsidTr="001870D6">
        <w:trPr>
          <w:trHeight w:val="239"/>
        </w:trPr>
        <w:tc>
          <w:tcPr>
            <w:tcW w:w="2769" w:type="dxa"/>
          </w:tcPr>
          <w:p w14:paraId="7C9A81D5" w14:textId="77777777" w:rsidR="00C57716" w:rsidRPr="00432DC2" w:rsidRDefault="00C57716" w:rsidP="001870D6">
            <w:pPr>
              <w:rPr>
                <w:rFonts w:ascii="Times New Roman" w:hAnsi="Times New Roman"/>
              </w:rPr>
            </w:pPr>
            <w:r w:rsidRPr="00432DC2">
              <w:rPr>
                <w:rFonts w:ascii="Times New Roman" w:hAnsi="Times New Roman"/>
              </w:rPr>
              <w:t>Sjednice općinskog vijeća</w:t>
            </w:r>
          </w:p>
        </w:tc>
        <w:tc>
          <w:tcPr>
            <w:tcW w:w="3747" w:type="dxa"/>
          </w:tcPr>
          <w:p w14:paraId="4E73C642" w14:textId="77777777" w:rsidR="00C57716" w:rsidRPr="00432DC2" w:rsidRDefault="00C57716" w:rsidP="001870D6">
            <w:pPr>
              <w:rPr>
                <w:rFonts w:ascii="Times New Roman" w:hAnsi="Times New Roman"/>
              </w:rPr>
            </w:pPr>
            <w:r w:rsidRPr="00432DC2">
              <w:rPr>
                <w:rFonts w:ascii="Times New Roman" w:hAnsi="Times New Roman"/>
              </w:rPr>
              <w:t>Broj sjednica u toku godine</w:t>
            </w:r>
          </w:p>
        </w:tc>
        <w:tc>
          <w:tcPr>
            <w:tcW w:w="1093" w:type="dxa"/>
          </w:tcPr>
          <w:p w14:paraId="4A89B1CF" w14:textId="4AFADB8C" w:rsidR="00C57716" w:rsidRPr="00432DC2" w:rsidRDefault="00432DC2" w:rsidP="001870D6">
            <w:pPr>
              <w:jc w:val="right"/>
              <w:rPr>
                <w:rFonts w:ascii="Times New Roman" w:hAnsi="Times New Roman"/>
              </w:rPr>
            </w:pPr>
            <w:r>
              <w:rPr>
                <w:rFonts w:ascii="Times New Roman" w:hAnsi="Times New Roman"/>
              </w:rPr>
              <w:t>8</w:t>
            </w:r>
          </w:p>
        </w:tc>
        <w:tc>
          <w:tcPr>
            <w:tcW w:w="1451" w:type="dxa"/>
          </w:tcPr>
          <w:p w14:paraId="1F773841" w14:textId="47FDDABC" w:rsidR="00C57716" w:rsidRPr="00432DC2" w:rsidRDefault="0073683C" w:rsidP="001870D6">
            <w:pPr>
              <w:jc w:val="right"/>
              <w:rPr>
                <w:rFonts w:ascii="Times New Roman" w:hAnsi="Times New Roman"/>
              </w:rPr>
            </w:pPr>
            <w:r w:rsidRPr="00432DC2">
              <w:rPr>
                <w:rFonts w:ascii="Times New Roman" w:hAnsi="Times New Roman"/>
              </w:rPr>
              <w:t>8</w:t>
            </w:r>
          </w:p>
        </w:tc>
      </w:tr>
      <w:tr w:rsidR="002E6F01" w:rsidRPr="00E964DA" w14:paraId="49AC8E37" w14:textId="77777777" w:rsidTr="001870D6">
        <w:trPr>
          <w:trHeight w:val="239"/>
        </w:trPr>
        <w:tc>
          <w:tcPr>
            <w:tcW w:w="2769" w:type="dxa"/>
          </w:tcPr>
          <w:p w14:paraId="4A34EEE7" w14:textId="77777777" w:rsidR="00C57716" w:rsidRPr="0050250A" w:rsidRDefault="00C57716" w:rsidP="001870D6">
            <w:pPr>
              <w:rPr>
                <w:rFonts w:ascii="Times New Roman" w:hAnsi="Times New Roman"/>
              </w:rPr>
            </w:pPr>
            <w:r w:rsidRPr="0050250A">
              <w:rPr>
                <w:rFonts w:ascii="Times New Roman" w:hAnsi="Times New Roman"/>
              </w:rPr>
              <w:t>Poslovanje ureda načelnika</w:t>
            </w:r>
          </w:p>
        </w:tc>
        <w:tc>
          <w:tcPr>
            <w:tcW w:w="3747" w:type="dxa"/>
          </w:tcPr>
          <w:p w14:paraId="6BBDF8D8" w14:textId="77777777" w:rsidR="00C57716" w:rsidRPr="0050250A" w:rsidRDefault="00C57716" w:rsidP="001870D6">
            <w:pPr>
              <w:rPr>
                <w:rFonts w:ascii="Times New Roman" w:hAnsi="Times New Roman"/>
              </w:rPr>
            </w:pPr>
            <w:r w:rsidRPr="0050250A">
              <w:rPr>
                <w:rFonts w:ascii="Times New Roman" w:hAnsi="Times New Roman"/>
              </w:rPr>
              <w:t>Broj donesenih akata od strane načelnika</w:t>
            </w:r>
          </w:p>
        </w:tc>
        <w:tc>
          <w:tcPr>
            <w:tcW w:w="1093" w:type="dxa"/>
          </w:tcPr>
          <w:p w14:paraId="72006A01" w14:textId="77777777" w:rsidR="00C57716" w:rsidRPr="0050250A" w:rsidRDefault="00C57716" w:rsidP="001870D6">
            <w:pPr>
              <w:jc w:val="right"/>
              <w:rPr>
                <w:rFonts w:ascii="Times New Roman" w:hAnsi="Times New Roman"/>
              </w:rPr>
            </w:pPr>
            <w:r w:rsidRPr="0050250A">
              <w:rPr>
                <w:rFonts w:ascii="Times New Roman" w:hAnsi="Times New Roman"/>
              </w:rPr>
              <w:t>12</w:t>
            </w:r>
          </w:p>
        </w:tc>
        <w:tc>
          <w:tcPr>
            <w:tcW w:w="1451" w:type="dxa"/>
          </w:tcPr>
          <w:p w14:paraId="14EFAC2A" w14:textId="0EECFBA6" w:rsidR="00C57716" w:rsidRPr="0050250A" w:rsidRDefault="0050250A" w:rsidP="001870D6">
            <w:pPr>
              <w:jc w:val="right"/>
              <w:rPr>
                <w:rFonts w:ascii="Times New Roman" w:hAnsi="Times New Roman"/>
              </w:rPr>
            </w:pPr>
            <w:r w:rsidRPr="0050250A">
              <w:rPr>
                <w:rFonts w:ascii="Times New Roman" w:hAnsi="Times New Roman"/>
              </w:rPr>
              <w:t>57</w:t>
            </w:r>
          </w:p>
        </w:tc>
      </w:tr>
      <w:tr w:rsidR="002E6F01" w:rsidRPr="00E964DA" w14:paraId="5A16029E" w14:textId="77777777" w:rsidTr="001870D6">
        <w:trPr>
          <w:trHeight w:val="239"/>
        </w:trPr>
        <w:tc>
          <w:tcPr>
            <w:tcW w:w="2769" w:type="dxa"/>
          </w:tcPr>
          <w:p w14:paraId="7BD8AE57" w14:textId="77777777" w:rsidR="00C57716" w:rsidRPr="0050250A" w:rsidRDefault="00C57716" w:rsidP="001870D6">
            <w:pPr>
              <w:rPr>
                <w:rFonts w:ascii="Times New Roman" w:hAnsi="Times New Roman"/>
              </w:rPr>
            </w:pPr>
            <w:r w:rsidRPr="0050250A">
              <w:rPr>
                <w:rFonts w:ascii="Times New Roman" w:hAnsi="Times New Roman"/>
              </w:rPr>
              <w:t>Donacije političkim strankama</w:t>
            </w:r>
          </w:p>
        </w:tc>
        <w:tc>
          <w:tcPr>
            <w:tcW w:w="3747" w:type="dxa"/>
          </w:tcPr>
          <w:p w14:paraId="42A5420E" w14:textId="7FE25C68" w:rsidR="00C57716" w:rsidRPr="0050250A" w:rsidRDefault="00C57716" w:rsidP="00F4775C">
            <w:pPr>
              <w:rPr>
                <w:rFonts w:ascii="Times New Roman" w:hAnsi="Times New Roman"/>
              </w:rPr>
            </w:pPr>
            <w:r w:rsidRPr="0050250A">
              <w:rPr>
                <w:rFonts w:ascii="Times New Roman" w:hAnsi="Times New Roman"/>
              </w:rPr>
              <w:t xml:space="preserve">Broj aktivnih sudionika u procesu donošenja </w:t>
            </w:r>
            <w:r w:rsidR="00F4775C" w:rsidRPr="0050250A">
              <w:rPr>
                <w:rFonts w:ascii="Times New Roman" w:hAnsi="Times New Roman"/>
              </w:rPr>
              <w:t>općinskih</w:t>
            </w:r>
            <w:r w:rsidRPr="0050250A">
              <w:rPr>
                <w:rFonts w:ascii="Times New Roman" w:hAnsi="Times New Roman"/>
              </w:rPr>
              <w:t xml:space="preserve"> akata</w:t>
            </w:r>
          </w:p>
        </w:tc>
        <w:tc>
          <w:tcPr>
            <w:tcW w:w="1093" w:type="dxa"/>
          </w:tcPr>
          <w:p w14:paraId="58E3F611" w14:textId="2CFBACCD" w:rsidR="00C57716" w:rsidRPr="0050250A" w:rsidRDefault="001E719B" w:rsidP="001870D6">
            <w:pPr>
              <w:jc w:val="right"/>
              <w:rPr>
                <w:rFonts w:ascii="Times New Roman" w:hAnsi="Times New Roman"/>
              </w:rPr>
            </w:pPr>
            <w:r w:rsidRPr="0050250A">
              <w:rPr>
                <w:rFonts w:ascii="Times New Roman" w:hAnsi="Times New Roman"/>
              </w:rPr>
              <w:t>7</w:t>
            </w:r>
          </w:p>
        </w:tc>
        <w:tc>
          <w:tcPr>
            <w:tcW w:w="1451" w:type="dxa"/>
          </w:tcPr>
          <w:p w14:paraId="3C63C1FE" w14:textId="31D1EDFA" w:rsidR="00C57716" w:rsidRPr="0050250A" w:rsidRDefault="0050250A" w:rsidP="001870D6">
            <w:pPr>
              <w:jc w:val="right"/>
              <w:rPr>
                <w:rFonts w:ascii="Times New Roman" w:hAnsi="Times New Roman"/>
              </w:rPr>
            </w:pPr>
            <w:r>
              <w:rPr>
                <w:rFonts w:ascii="Times New Roman" w:hAnsi="Times New Roman"/>
              </w:rPr>
              <w:t>7</w:t>
            </w:r>
          </w:p>
        </w:tc>
      </w:tr>
    </w:tbl>
    <w:p w14:paraId="38AA93CA" w14:textId="77777777" w:rsidR="00005EBC" w:rsidRPr="00005EBC" w:rsidRDefault="00005EBC" w:rsidP="00005EBC">
      <w:pPr>
        <w:spacing w:after="0" w:line="240" w:lineRule="auto"/>
        <w:jc w:val="both"/>
        <w:rPr>
          <w:rFonts w:ascii="Times New Roman" w:hAnsi="Times New Roman"/>
        </w:rPr>
      </w:pPr>
    </w:p>
    <w:p w14:paraId="69C9A2DB" w14:textId="77777777" w:rsidR="007A1751" w:rsidRDefault="007A1751" w:rsidP="00005EBC">
      <w:pPr>
        <w:spacing w:after="0" w:line="240" w:lineRule="auto"/>
        <w:jc w:val="both"/>
        <w:rPr>
          <w:rFonts w:ascii="Times New Roman" w:hAnsi="Times New Roman"/>
        </w:rPr>
      </w:pPr>
    </w:p>
    <w:p w14:paraId="02F47FEF" w14:textId="518A10DC" w:rsidR="005D74B7" w:rsidRPr="00976B13" w:rsidRDefault="005D74B7" w:rsidP="00005EBC">
      <w:pPr>
        <w:spacing w:after="0" w:line="240" w:lineRule="auto"/>
        <w:jc w:val="both"/>
      </w:pPr>
      <w:r w:rsidRPr="00005EBC">
        <w:rPr>
          <w:rFonts w:ascii="Times New Roman" w:hAnsi="Times New Roman"/>
        </w:rPr>
        <w:t xml:space="preserve">Realizacije utroška sredstava </w:t>
      </w:r>
      <w:r w:rsidRPr="00005EBC">
        <w:rPr>
          <w:rFonts w:ascii="Times New Roman" w:hAnsi="Times New Roman"/>
          <w:b/>
        </w:rPr>
        <w:t>Jedinstvenog upravnog djela Općine Oprtalj</w:t>
      </w:r>
      <w:r w:rsidRPr="00005EBC">
        <w:rPr>
          <w:rFonts w:ascii="Times New Roman" w:hAnsi="Times New Roman"/>
        </w:rPr>
        <w:t xml:space="preserve"> za </w:t>
      </w:r>
      <w:r w:rsidR="00F4775C">
        <w:rPr>
          <w:rFonts w:ascii="Times New Roman" w:hAnsi="Times New Roman"/>
        </w:rPr>
        <w:t>2025</w:t>
      </w:r>
      <w:r w:rsidR="002E6F01">
        <w:rPr>
          <w:rFonts w:ascii="Times New Roman" w:hAnsi="Times New Roman"/>
        </w:rPr>
        <w:t>. godinu</w:t>
      </w:r>
      <w:r w:rsidRPr="00976B13">
        <w:rPr>
          <w:rFonts w:ascii="Times New Roman" w:hAnsi="Times New Roman"/>
        </w:rPr>
        <w:t xml:space="preserve"> prati se kroz </w:t>
      </w:r>
      <w:r w:rsidR="00F2220B" w:rsidRPr="00976B13">
        <w:rPr>
          <w:rFonts w:ascii="Times New Roman" w:hAnsi="Times New Roman"/>
        </w:rPr>
        <w:t>sedamnaest</w:t>
      </w:r>
      <w:r w:rsidRPr="00976B13">
        <w:rPr>
          <w:rFonts w:ascii="Times New Roman" w:hAnsi="Times New Roman"/>
        </w:rPr>
        <w:t xml:space="preserve"> različitih programa koji su obuhvaćeni financijskim planom rashoda Jedinstvenog upravnog odjela.</w:t>
      </w:r>
    </w:p>
    <w:p w14:paraId="78DC953D" w14:textId="77777777" w:rsidR="005D74B7" w:rsidRPr="00976B13" w:rsidRDefault="005D74B7" w:rsidP="005D74B7">
      <w:pPr>
        <w:spacing w:line="240" w:lineRule="auto"/>
        <w:jc w:val="both"/>
        <w:rPr>
          <w:rFonts w:ascii="Times New Roman" w:hAnsi="Times New Roman"/>
        </w:rPr>
      </w:pPr>
      <w:r w:rsidRPr="00976B13">
        <w:rPr>
          <w:rFonts w:ascii="Times New Roman" w:hAnsi="Times New Roman"/>
        </w:rPr>
        <w:t>Za obavljanje poslova iz samoupravnog djelokruga Općine Oprtalj, kao i poslova državne uprave koji su prenijeti na Općinu, ustrojen je Jedinstveni upravni odjel Općine Oprtalj. Jedinstveni upravni odjel obavlja poslove iz samoupravnog djelokruga Općine kao jedinice lokalne samouprave, sukladno zakonima i drugim propisima i to:</w:t>
      </w:r>
    </w:p>
    <w:p w14:paraId="415645D1"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Poslove iz oblasti društvenih djelatnosti (kulture, sporta, brige i odgoja djece predškolske dobi, osnovnog školstva, socijalne skrbi, zdravstva, udruga građana)</w:t>
      </w:r>
    </w:p>
    <w:p w14:paraId="25C128B0"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Poslove iz oblasti komunalnog gospodarstva (izrada programa održavanja objekata i uređaja komunalne infrastrukture i drugih objekata kojih je investitor općina)</w:t>
      </w:r>
    </w:p>
    <w:p w14:paraId="7E429F88"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Poslove iz oblasti prostornog uređenja i zaštite okoliša</w:t>
      </w:r>
    </w:p>
    <w:p w14:paraId="5CEF1C11"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Poslove pripreme akata u gospodarenju nekretninama u vlasništvu općine (prodaja i zakup nekretnina, najam stanova i zakup poslovnih prostora)</w:t>
      </w:r>
    </w:p>
    <w:p w14:paraId="5C149529"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Poslove vođenja financijskog i materijalnog poslovanja općine</w:t>
      </w:r>
    </w:p>
    <w:p w14:paraId="1CAB2FB2" w14:textId="77777777" w:rsidR="005D74B7" w:rsidRPr="00976B13" w:rsidRDefault="005D74B7" w:rsidP="008747B7">
      <w:pPr>
        <w:pStyle w:val="ListParagraph"/>
        <w:numPr>
          <w:ilvl w:val="0"/>
          <w:numId w:val="7"/>
        </w:numPr>
        <w:spacing w:line="240" w:lineRule="auto"/>
        <w:jc w:val="both"/>
        <w:rPr>
          <w:rFonts w:ascii="Times New Roman" w:hAnsi="Times New Roman"/>
        </w:rPr>
      </w:pPr>
      <w:r w:rsidRPr="00976B13">
        <w:rPr>
          <w:rFonts w:ascii="Times New Roman" w:hAnsi="Times New Roman"/>
        </w:rPr>
        <w:t xml:space="preserve">Poslove opće uprave (opće i kadrovske poslove), obavljanje poslova i evidencija iz oblasti rada i radnih odnosa, osiguravanje tehničkih uvjeta za rad Jedinstvenog upravnog odjela, poslovi prijemne kancelarije, arhiviranje i otprema pošte, poslovi nabave robe i usluga </w:t>
      </w:r>
    </w:p>
    <w:p w14:paraId="6E51856B" w14:textId="77777777" w:rsidR="005D74B7" w:rsidRPr="00976B13" w:rsidRDefault="005D74B7" w:rsidP="008747B7">
      <w:pPr>
        <w:pStyle w:val="ListParagraph"/>
        <w:numPr>
          <w:ilvl w:val="0"/>
          <w:numId w:val="7"/>
        </w:numPr>
        <w:spacing w:line="240" w:lineRule="auto"/>
        <w:rPr>
          <w:rFonts w:ascii="Times New Roman" w:hAnsi="Times New Roman"/>
        </w:rPr>
      </w:pPr>
      <w:r w:rsidRPr="00976B13">
        <w:rPr>
          <w:rFonts w:ascii="Times New Roman" w:hAnsi="Times New Roman"/>
        </w:rPr>
        <w:t>Poslove vezane uz protupožarnu i civilnu zaštitu</w:t>
      </w:r>
    </w:p>
    <w:p w14:paraId="48785E32" w14:textId="77777777" w:rsidR="005D74B7" w:rsidRPr="00976B13" w:rsidRDefault="005D74B7" w:rsidP="008747B7">
      <w:pPr>
        <w:pStyle w:val="ListParagraph"/>
        <w:numPr>
          <w:ilvl w:val="0"/>
          <w:numId w:val="7"/>
        </w:numPr>
        <w:spacing w:line="240" w:lineRule="auto"/>
        <w:rPr>
          <w:rFonts w:ascii="Times New Roman" w:hAnsi="Times New Roman"/>
        </w:rPr>
      </w:pPr>
      <w:r w:rsidRPr="00976B13">
        <w:rPr>
          <w:rFonts w:ascii="Times New Roman" w:hAnsi="Times New Roman"/>
        </w:rPr>
        <w:t>Poslove unapređenja rada lokalne samouprave i slično.</w:t>
      </w:r>
    </w:p>
    <w:p w14:paraId="4CC2759C" w14:textId="77777777" w:rsidR="00476ACD" w:rsidRPr="00976B13" w:rsidRDefault="005D74B7" w:rsidP="00643240">
      <w:pPr>
        <w:spacing w:line="240" w:lineRule="auto"/>
        <w:jc w:val="both"/>
        <w:rPr>
          <w:rFonts w:ascii="Times New Roman" w:hAnsi="Times New Roman"/>
        </w:rPr>
      </w:pPr>
      <w:r w:rsidRPr="00976B13">
        <w:rPr>
          <w:rFonts w:ascii="Times New Roman" w:hAnsi="Times New Roman"/>
        </w:rPr>
        <w:t>U nastavku slijedi detaljni grafički i tekstualni prikaz pojedinih programa definiranih unutar razdjela Jedinstveni upravni odjel</w:t>
      </w:r>
      <w:r w:rsidR="00643240" w:rsidRPr="00976B13">
        <w:rPr>
          <w:rFonts w:ascii="Times New Roman" w:hAnsi="Times New Roman"/>
        </w:rPr>
        <w:t>.</w:t>
      </w:r>
    </w:p>
    <w:p w14:paraId="5B26CC85" w14:textId="77777777" w:rsidR="00643240" w:rsidRDefault="00643240" w:rsidP="00643240">
      <w:pPr>
        <w:spacing w:line="240" w:lineRule="auto"/>
        <w:jc w:val="both"/>
        <w:rPr>
          <w:rFonts w:ascii="Times New Roman" w:hAnsi="Times New Roman"/>
        </w:rPr>
      </w:pPr>
    </w:p>
    <w:p w14:paraId="0A9C93B0" w14:textId="77777777" w:rsidR="007A1751" w:rsidRDefault="007A1751" w:rsidP="007A1751">
      <w:pPr>
        <w:pStyle w:val="Heading5"/>
        <w:spacing w:before="0" w:line="240" w:lineRule="auto"/>
        <w:ind w:right="139"/>
        <w:jc w:val="center"/>
        <w:rPr>
          <w:rFonts w:ascii="Times New Roman" w:hAnsi="Times New Roman" w:cs="Times New Roman"/>
          <w:b/>
          <w:color w:val="auto"/>
          <w:w w:val="115"/>
        </w:rPr>
      </w:pPr>
      <w:r>
        <w:rPr>
          <w:rFonts w:ascii="Times New Roman" w:hAnsi="Times New Roman" w:cs="Times New Roman"/>
          <w:b/>
          <w:color w:val="auto"/>
          <w:w w:val="115"/>
        </w:rPr>
        <w:lastRenderedPageBreak/>
        <w:t>JEDINSTVENI UPRAVNI ODJEL</w:t>
      </w:r>
    </w:p>
    <w:p w14:paraId="33DA8A86" w14:textId="79E34322" w:rsidR="007A1751" w:rsidRPr="007A1751" w:rsidRDefault="007A1751" w:rsidP="007A1751">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t>Program 1003</w:t>
      </w:r>
      <w:r w:rsidRPr="007A1751">
        <w:rPr>
          <w:rFonts w:ascii="Times New Roman" w:hAnsi="Times New Roman" w:cs="Times New Roman"/>
          <w:b/>
          <w:color w:val="auto"/>
          <w:w w:val="115"/>
        </w:rPr>
        <w:t xml:space="preserve">: MJERE I AKTIVNOSTI ZA OSIGURANJE RADA IZ DJELOKRUGA </w:t>
      </w:r>
      <w:r>
        <w:rPr>
          <w:rFonts w:ascii="Times New Roman" w:hAnsi="Times New Roman" w:cs="Times New Roman"/>
          <w:b/>
          <w:color w:val="auto"/>
          <w:w w:val="115"/>
        </w:rPr>
        <w:t>JEDINSTVENOG UPRAVNOG ODJELA</w:t>
      </w:r>
    </w:p>
    <w:p w14:paraId="32BA80BB" w14:textId="77777777" w:rsidR="007A1751" w:rsidRDefault="007A1751" w:rsidP="00643240">
      <w:pPr>
        <w:spacing w:line="240" w:lineRule="auto"/>
        <w:jc w:val="both"/>
        <w:rPr>
          <w:rFonts w:ascii="Times New Roman" w:hAnsi="Times New Roman"/>
        </w:rPr>
      </w:pPr>
    </w:p>
    <w:p w14:paraId="1C34815C" w14:textId="2AF1C56B" w:rsidR="00307A84" w:rsidRPr="00307A84" w:rsidRDefault="00307A84" w:rsidP="00307A84">
      <w:pPr>
        <w:pStyle w:val="BodyText"/>
        <w:rPr>
          <w:rFonts w:ascii="Times New Roman" w:hAnsi="Times New Roman" w:cs="Times New Roman"/>
          <w:sz w:val="22"/>
          <w:szCs w:val="22"/>
        </w:rPr>
      </w:pPr>
      <w:r w:rsidRPr="00307A84">
        <w:rPr>
          <w:rFonts w:ascii="Times New Roman" w:hAnsi="Times New Roman" w:cs="Times New Roman"/>
          <w:w w:val="115"/>
          <w:sz w:val="22"/>
          <w:szCs w:val="22"/>
        </w:rPr>
        <w:t xml:space="preserve">Program obuhvaća aktivnosti kojima se osiguravaju sredstva za redovno financiranje prava iz službeničkog odnosa za sve službenike i namještenike </w:t>
      </w:r>
      <w:r>
        <w:rPr>
          <w:rFonts w:ascii="Times New Roman" w:hAnsi="Times New Roman" w:cs="Times New Roman"/>
          <w:w w:val="115"/>
          <w:sz w:val="22"/>
          <w:szCs w:val="22"/>
        </w:rPr>
        <w:t>općinske</w:t>
      </w:r>
      <w:r w:rsidRPr="00307A84">
        <w:rPr>
          <w:rFonts w:ascii="Times New Roman" w:hAnsi="Times New Roman" w:cs="Times New Roman"/>
          <w:w w:val="115"/>
          <w:sz w:val="22"/>
          <w:szCs w:val="22"/>
        </w:rPr>
        <w:t xml:space="preserve"> uprave, sredstva za podmirivanje materijalnih rashoda za rad, financijskih rashoda za bankarske usluge, usluge platnog prometa i ostale financijske rashode, te sredstva</w:t>
      </w:r>
      <w:r w:rsidRPr="00307A84">
        <w:rPr>
          <w:rFonts w:ascii="Times New Roman" w:hAnsi="Times New Roman" w:cs="Times New Roman"/>
          <w:spacing w:val="80"/>
          <w:w w:val="115"/>
          <w:sz w:val="22"/>
          <w:szCs w:val="22"/>
        </w:rPr>
        <w:t xml:space="preserve"> </w:t>
      </w:r>
      <w:r w:rsidRPr="00307A84">
        <w:rPr>
          <w:rFonts w:ascii="Times New Roman" w:hAnsi="Times New Roman" w:cs="Times New Roman"/>
          <w:w w:val="115"/>
          <w:sz w:val="22"/>
          <w:szCs w:val="22"/>
        </w:rPr>
        <w:t>kojima se osigurava oprema potrebna za</w:t>
      </w:r>
      <w:r w:rsidRPr="00307A84">
        <w:rPr>
          <w:rFonts w:ascii="Times New Roman" w:hAnsi="Times New Roman" w:cs="Times New Roman"/>
          <w:spacing w:val="-1"/>
          <w:w w:val="115"/>
          <w:sz w:val="22"/>
          <w:szCs w:val="22"/>
        </w:rPr>
        <w:t xml:space="preserve"> </w:t>
      </w:r>
      <w:r w:rsidRPr="00307A84">
        <w:rPr>
          <w:rFonts w:ascii="Times New Roman" w:hAnsi="Times New Roman" w:cs="Times New Roman"/>
          <w:w w:val="115"/>
          <w:sz w:val="22"/>
          <w:szCs w:val="22"/>
        </w:rPr>
        <w:t xml:space="preserve">rad Jedinstvenog upravnog odjela. Svrha provedbe mjere je osigurati učinkovito, transparentno i zakonito funkcioniranje </w:t>
      </w:r>
      <w:r>
        <w:rPr>
          <w:rFonts w:ascii="Times New Roman" w:hAnsi="Times New Roman" w:cs="Times New Roman"/>
          <w:w w:val="115"/>
          <w:sz w:val="22"/>
          <w:szCs w:val="22"/>
        </w:rPr>
        <w:t>općinske</w:t>
      </w:r>
      <w:r w:rsidRPr="00307A84">
        <w:rPr>
          <w:rFonts w:ascii="Times New Roman" w:hAnsi="Times New Roman" w:cs="Times New Roman"/>
          <w:w w:val="115"/>
          <w:sz w:val="22"/>
          <w:szCs w:val="22"/>
        </w:rPr>
        <w:t xml:space="preserve"> uprave te odgovorno upravljanje </w:t>
      </w:r>
      <w:r>
        <w:rPr>
          <w:rFonts w:ascii="Times New Roman" w:hAnsi="Times New Roman" w:cs="Times New Roman"/>
          <w:w w:val="115"/>
          <w:sz w:val="22"/>
          <w:szCs w:val="22"/>
        </w:rPr>
        <w:t>općinskom</w:t>
      </w:r>
      <w:r w:rsidRPr="00307A84">
        <w:rPr>
          <w:rFonts w:ascii="Times New Roman" w:hAnsi="Times New Roman" w:cs="Times New Roman"/>
          <w:w w:val="115"/>
          <w:sz w:val="22"/>
          <w:szCs w:val="22"/>
        </w:rPr>
        <w:t xml:space="preserve"> imovinom radi unapređenja kvalitete javnih usluga i održivog razvoja </w:t>
      </w:r>
      <w:r>
        <w:rPr>
          <w:rFonts w:ascii="Times New Roman" w:hAnsi="Times New Roman" w:cs="Times New Roman"/>
          <w:w w:val="115"/>
          <w:sz w:val="22"/>
          <w:szCs w:val="22"/>
        </w:rPr>
        <w:t>Općine Oprtalj</w:t>
      </w:r>
      <w:r w:rsidRPr="00307A84">
        <w:rPr>
          <w:rFonts w:ascii="Times New Roman" w:hAnsi="Times New Roman" w:cs="Times New Roman"/>
          <w:w w:val="115"/>
          <w:sz w:val="22"/>
          <w:szCs w:val="22"/>
        </w:rPr>
        <w:t>.</w:t>
      </w:r>
    </w:p>
    <w:p w14:paraId="05E4238D" w14:textId="77777777" w:rsidR="00307A84" w:rsidRDefault="00307A84" w:rsidP="00307A84">
      <w:pPr>
        <w:spacing w:after="0" w:line="240" w:lineRule="auto"/>
        <w:jc w:val="both"/>
        <w:rPr>
          <w:rFonts w:ascii="Times New Roman" w:hAnsi="Times New Roman"/>
        </w:rPr>
      </w:pPr>
    </w:p>
    <w:p w14:paraId="3610F1E0" w14:textId="77777777" w:rsidR="00307A84" w:rsidRPr="003E0E22" w:rsidRDefault="00307A84" w:rsidP="00307A84">
      <w:pPr>
        <w:spacing w:after="0" w:line="240" w:lineRule="auto"/>
        <w:jc w:val="both"/>
        <w:rPr>
          <w:rFonts w:ascii="Times New Roman" w:hAnsi="Times New Roman"/>
        </w:rPr>
      </w:pPr>
      <w:r w:rsidRPr="003E0E22">
        <w:rPr>
          <w:rFonts w:ascii="Times New Roman" w:hAnsi="Times New Roman"/>
          <w:b/>
        </w:rPr>
        <w:t>Cilj</w:t>
      </w:r>
      <w:r>
        <w:rPr>
          <w:rFonts w:ascii="Times New Roman" w:hAnsi="Times New Roman"/>
          <w:b/>
        </w:rPr>
        <w:t xml:space="preserve"> programa rada Jedinstvenog upravnog odjela</w:t>
      </w:r>
      <w:r w:rsidRPr="003E0E22">
        <w:rPr>
          <w:rFonts w:ascii="Times New Roman" w:hAnsi="Times New Roman"/>
          <w:b/>
        </w:rPr>
        <w:t xml:space="preserve">: </w:t>
      </w:r>
      <w:r w:rsidRPr="003E0E22">
        <w:rPr>
          <w:rFonts w:ascii="Times New Roman" w:eastAsia="Calibri" w:hAnsi="Times New Roman"/>
        </w:rPr>
        <w:t>Funkcionalnost, efikasnost i učinkovitost općinske uprave, p</w:t>
      </w:r>
      <w:r w:rsidRPr="003E0E22">
        <w:rPr>
          <w:rFonts w:ascii="Times New Roman" w:hAnsi="Times New Roman"/>
        </w:rPr>
        <w:t xml:space="preserve">rovođenje politike plaća i drugih materijalnih prava zaposlenika upravnog odjela u skladu s proračunskim mogućnostima te osiguranje sredstva za nesmetano obavljanje upravnih, stručnih i ostalih poslova odjela. </w:t>
      </w:r>
    </w:p>
    <w:p w14:paraId="431BFF8F" w14:textId="77777777" w:rsidR="00307A84" w:rsidRPr="003E0E22" w:rsidRDefault="00307A84" w:rsidP="00307A84">
      <w:pPr>
        <w:spacing w:after="0" w:line="240" w:lineRule="auto"/>
        <w:jc w:val="both"/>
        <w:rPr>
          <w:rFonts w:ascii="Times New Roman" w:hAnsi="Times New Roman"/>
        </w:rPr>
      </w:pPr>
      <w:r w:rsidRPr="003E0E22">
        <w:rPr>
          <w:rFonts w:ascii="Times New Roman" w:hAnsi="Times New Roman"/>
        </w:rPr>
        <w:t>Zakonito i racionalno raspolaganje proračunskim sredstvima, zakonito postupanje u primjeni propisa na kojima je utemeljen platni sustav dužnosnika, službenika i namještenika, postupanje po drugim propisima. Nesmetan i učinkovit rad Jedinstvenog upravnog odjela.</w:t>
      </w:r>
    </w:p>
    <w:p w14:paraId="2427DAFB" w14:textId="77777777" w:rsidR="00307A84" w:rsidRPr="003E0E22" w:rsidRDefault="00307A84" w:rsidP="00307A84">
      <w:pPr>
        <w:pStyle w:val="Default"/>
        <w:jc w:val="both"/>
        <w:rPr>
          <w:rFonts w:ascii="Times New Roman" w:hAnsi="Times New Roman" w:cs="Times New Roman"/>
          <w:sz w:val="22"/>
          <w:szCs w:val="22"/>
        </w:rPr>
      </w:pPr>
    </w:p>
    <w:p w14:paraId="28089458" w14:textId="77777777" w:rsidR="00307A84" w:rsidRDefault="00307A84" w:rsidP="00307A84">
      <w:pPr>
        <w:pStyle w:val="Default"/>
        <w:jc w:val="both"/>
        <w:rPr>
          <w:rFonts w:ascii="Times New Roman" w:hAnsi="Times New Roman" w:cs="Times New Roman"/>
          <w:sz w:val="22"/>
          <w:szCs w:val="22"/>
        </w:rPr>
      </w:pPr>
      <w:r w:rsidRPr="003E0E22">
        <w:rPr>
          <w:rFonts w:ascii="Times New Roman" w:hAnsi="Times New Roman" w:cs="Times New Roman"/>
          <w:b/>
          <w:bCs/>
          <w:sz w:val="22"/>
          <w:szCs w:val="22"/>
        </w:rPr>
        <w:t>Pokazatelji uspješnosti:</w:t>
      </w:r>
    </w:p>
    <w:p w14:paraId="6C2FC08B" w14:textId="77777777" w:rsidR="00307A84" w:rsidRDefault="00307A84" w:rsidP="00307A84">
      <w:pPr>
        <w:pStyle w:val="Default"/>
        <w:numPr>
          <w:ilvl w:val="0"/>
          <w:numId w:val="17"/>
        </w:numPr>
        <w:jc w:val="both"/>
        <w:rPr>
          <w:rFonts w:ascii="Times New Roman" w:hAnsi="Times New Roman" w:cs="Times New Roman"/>
          <w:sz w:val="22"/>
          <w:szCs w:val="22"/>
        </w:rPr>
      </w:pPr>
      <w:r w:rsidRPr="003E0E22">
        <w:rPr>
          <w:rFonts w:ascii="Times New Roman" w:hAnsi="Times New Roman" w:cs="Times New Roman"/>
          <w:sz w:val="22"/>
          <w:szCs w:val="22"/>
        </w:rPr>
        <w:t>broj riješenih predmeta u tijeku godine</w:t>
      </w:r>
      <w:r>
        <w:rPr>
          <w:rFonts w:ascii="Times New Roman" w:hAnsi="Times New Roman" w:cs="Times New Roman"/>
          <w:sz w:val="22"/>
          <w:szCs w:val="22"/>
        </w:rPr>
        <w:t xml:space="preserve"> </w:t>
      </w:r>
      <w:r w:rsidRPr="003E0E22">
        <w:rPr>
          <w:rFonts w:ascii="Times New Roman" w:hAnsi="Times New Roman" w:cs="Times New Roman"/>
          <w:sz w:val="22"/>
          <w:szCs w:val="22"/>
        </w:rPr>
        <w:t>/ prosječno vrijeme rješavanja predmeta</w:t>
      </w:r>
    </w:p>
    <w:p w14:paraId="7EFA86C2" w14:textId="77777777" w:rsidR="00307A84" w:rsidRDefault="00307A84" w:rsidP="00307A84">
      <w:pPr>
        <w:pStyle w:val="Default"/>
        <w:numPr>
          <w:ilvl w:val="0"/>
          <w:numId w:val="17"/>
        </w:numPr>
        <w:jc w:val="both"/>
        <w:rPr>
          <w:rFonts w:ascii="Times New Roman" w:hAnsi="Times New Roman" w:cs="Times New Roman"/>
          <w:sz w:val="22"/>
          <w:szCs w:val="22"/>
        </w:rPr>
      </w:pPr>
      <w:r w:rsidRPr="003E0E22">
        <w:rPr>
          <w:rFonts w:ascii="Times New Roman" w:hAnsi="Times New Roman" w:cs="Times New Roman"/>
          <w:sz w:val="22"/>
          <w:szCs w:val="22"/>
        </w:rPr>
        <w:t>trošak nabave sredstava, proizvoda i usluga</w:t>
      </w:r>
      <w:r>
        <w:rPr>
          <w:rFonts w:ascii="Times New Roman" w:hAnsi="Times New Roman" w:cs="Times New Roman"/>
          <w:sz w:val="22"/>
          <w:szCs w:val="22"/>
        </w:rPr>
        <w:t xml:space="preserve"> </w:t>
      </w:r>
      <w:r w:rsidRPr="003E0E22">
        <w:rPr>
          <w:rFonts w:ascii="Times New Roman" w:hAnsi="Times New Roman" w:cs="Times New Roman"/>
          <w:sz w:val="22"/>
          <w:szCs w:val="22"/>
        </w:rPr>
        <w:t>/</w:t>
      </w:r>
      <w:r>
        <w:rPr>
          <w:rFonts w:ascii="Times New Roman" w:hAnsi="Times New Roman" w:cs="Times New Roman"/>
          <w:sz w:val="22"/>
          <w:szCs w:val="22"/>
        </w:rPr>
        <w:t xml:space="preserve"> </w:t>
      </w:r>
      <w:r w:rsidRPr="003E0E22">
        <w:rPr>
          <w:rFonts w:ascii="Times New Roman" w:hAnsi="Times New Roman" w:cs="Times New Roman"/>
          <w:sz w:val="22"/>
          <w:szCs w:val="22"/>
        </w:rPr>
        <w:t>službenik, namještenik</w:t>
      </w:r>
      <w:r>
        <w:rPr>
          <w:rFonts w:ascii="Times New Roman" w:hAnsi="Times New Roman" w:cs="Times New Roman"/>
          <w:sz w:val="22"/>
          <w:szCs w:val="22"/>
        </w:rPr>
        <w:t>a</w:t>
      </w:r>
    </w:p>
    <w:p w14:paraId="6C10C0D4" w14:textId="77777777" w:rsidR="00307A84" w:rsidRPr="003E0E22" w:rsidRDefault="00307A84" w:rsidP="00307A84">
      <w:pPr>
        <w:pStyle w:val="Default"/>
        <w:numPr>
          <w:ilvl w:val="0"/>
          <w:numId w:val="17"/>
        </w:numPr>
        <w:jc w:val="both"/>
        <w:rPr>
          <w:rFonts w:ascii="Times New Roman" w:hAnsi="Times New Roman" w:cs="Times New Roman"/>
          <w:sz w:val="22"/>
          <w:szCs w:val="22"/>
        </w:rPr>
      </w:pPr>
      <w:r w:rsidRPr="003E0E22">
        <w:rPr>
          <w:rFonts w:ascii="Times New Roman" w:hAnsi="Times New Roman" w:cs="Times New Roman"/>
          <w:sz w:val="22"/>
          <w:szCs w:val="22"/>
        </w:rPr>
        <w:t>trošak nabavljene opreme/ službenik, namještenik.</w:t>
      </w:r>
    </w:p>
    <w:p w14:paraId="59C264B3" w14:textId="77777777" w:rsidR="00307A84" w:rsidRPr="003E0E22" w:rsidRDefault="00307A84" w:rsidP="00307A84">
      <w:pPr>
        <w:pStyle w:val="Default"/>
        <w:jc w:val="both"/>
        <w:rPr>
          <w:rFonts w:ascii="Times New Roman" w:hAnsi="Times New Roman" w:cs="Times New Roman"/>
          <w:b/>
          <w:bCs/>
          <w:sz w:val="22"/>
          <w:szCs w:val="22"/>
        </w:rPr>
      </w:pPr>
    </w:p>
    <w:tbl>
      <w:tblPr>
        <w:tblStyle w:val="TableGrid"/>
        <w:tblW w:w="8971" w:type="dxa"/>
        <w:tblLook w:val="04A0" w:firstRow="1" w:lastRow="0" w:firstColumn="1" w:lastColumn="0" w:noHBand="0" w:noVBand="1"/>
      </w:tblPr>
      <w:tblGrid>
        <w:gridCol w:w="3539"/>
        <w:gridCol w:w="3119"/>
        <w:gridCol w:w="850"/>
        <w:gridCol w:w="1463"/>
      </w:tblGrid>
      <w:tr w:rsidR="00307A84" w:rsidRPr="00C23B1B" w14:paraId="5D9CB3B1" w14:textId="77777777" w:rsidTr="008A14E6">
        <w:trPr>
          <w:trHeight w:val="376"/>
        </w:trPr>
        <w:tc>
          <w:tcPr>
            <w:tcW w:w="3539" w:type="dxa"/>
          </w:tcPr>
          <w:p w14:paraId="119DFF39" w14:textId="77777777" w:rsidR="00307A84" w:rsidRPr="00233F94" w:rsidRDefault="00307A84" w:rsidP="008A14E6">
            <w:pPr>
              <w:jc w:val="center"/>
              <w:rPr>
                <w:rFonts w:ascii="Times New Roman" w:hAnsi="Times New Roman"/>
                <w:b/>
                <w:bCs/>
              </w:rPr>
            </w:pPr>
            <w:r w:rsidRPr="00233F94">
              <w:rPr>
                <w:rFonts w:ascii="Times New Roman" w:hAnsi="Times New Roman"/>
                <w:b/>
                <w:bCs/>
              </w:rPr>
              <w:t>NAZIV AKTIVNOSTI</w:t>
            </w:r>
          </w:p>
        </w:tc>
        <w:tc>
          <w:tcPr>
            <w:tcW w:w="3119" w:type="dxa"/>
          </w:tcPr>
          <w:p w14:paraId="7554D92A" w14:textId="77777777" w:rsidR="00307A84" w:rsidRPr="00233F94" w:rsidRDefault="00307A84" w:rsidP="008A14E6">
            <w:pPr>
              <w:jc w:val="center"/>
              <w:rPr>
                <w:rFonts w:ascii="Times New Roman" w:hAnsi="Times New Roman"/>
                <w:b/>
                <w:bCs/>
              </w:rPr>
            </w:pPr>
            <w:r w:rsidRPr="00233F94">
              <w:rPr>
                <w:rFonts w:ascii="Times New Roman" w:hAnsi="Times New Roman"/>
                <w:b/>
                <w:bCs/>
              </w:rPr>
              <w:t>OPIS POKAZATELJA</w:t>
            </w:r>
          </w:p>
        </w:tc>
        <w:tc>
          <w:tcPr>
            <w:tcW w:w="850" w:type="dxa"/>
          </w:tcPr>
          <w:p w14:paraId="531C0795" w14:textId="77777777" w:rsidR="00307A84" w:rsidRPr="00233F94" w:rsidRDefault="00307A84" w:rsidP="008A14E6">
            <w:pPr>
              <w:jc w:val="center"/>
              <w:rPr>
                <w:rFonts w:ascii="Times New Roman" w:hAnsi="Times New Roman"/>
                <w:b/>
                <w:bCs/>
              </w:rPr>
            </w:pPr>
            <w:r w:rsidRPr="00233F94">
              <w:rPr>
                <w:rFonts w:ascii="Times New Roman" w:hAnsi="Times New Roman"/>
                <w:b/>
                <w:bCs/>
              </w:rPr>
              <w:t xml:space="preserve">PLAN </w:t>
            </w:r>
          </w:p>
        </w:tc>
        <w:tc>
          <w:tcPr>
            <w:tcW w:w="1463" w:type="dxa"/>
          </w:tcPr>
          <w:p w14:paraId="755BCB8C" w14:textId="77777777" w:rsidR="00307A84" w:rsidRPr="00233F94" w:rsidRDefault="00307A84" w:rsidP="008A14E6">
            <w:pPr>
              <w:jc w:val="center"/>
              <w:rPr>
                <w:rFonts w:ascii="Times New Roman" w:hAnsi="Times New Roman"/>
                <w:b/>
                <w:bCs/>
              </w:rPr>
            </w:pPr>
            <w:r w:rsidRPr="00233F94">
              <w:rPr>
                <w:rFonts w:ascii="Times New Roman" w:hAnsi="Times New Roman"/>
                <w:b/>
                <w:bCs/>
              </w:rPr>
              <w:t>IZVRŠENJA</w:t>
            </w:r>
          </w:p>
        </w:tc>
      </w:tr>
      <w:tr w:rsidR="00307A84" w:rsidRPr="00C23B1B" w14:paraId="2A456D82" w14:textId="77777777" w:rsidTr="008A14E6">
        <w:trPr>
          <w:trHeight w:val="376"/>
        </w:trPr>
        <w:tc>
          <w:tcPr>
            <w:tcW w:w="3539" w:type="dxa"/>
          </w:tcPr>
          <w:p w14:paraId="5FA674A0" w14:textId="77777777" w:rsidR="00307A84" w:rsidRPr="00233F94" w:rsidRDefault="00307A84" w:rsidP="008A14E6">
            <w:pPr>
              <w:rPr>
                <w:rFonts w:ascii="Times New Roman" w:hAnsi="Times New Roman"/>
              </w:rPr>
            </w:pPr>
            <w:r w:rsidRPr="00233F94">
              <w:rPr>
                <w:rFonts w:ascii="Times New Roman" w:hAnsi="Times New Roman"/>
              </w:rPr>
              <w:t>Administrativno, tehničko i stručno osoblje JUO</w:t>
            </w:r>
          </w:p>
        </w:tc>
        <w:tc>
          <w:tcPr>
            <w:tcW w:w="3119" w:type="dxa"/>
          </w:tcPr>
          <w:p w14:paraId="0FD50A79" w14:textId="77777777" w:rsidR="00307A84" w:rsidRPr="00233F94" w:rsidRDefault="00307A84" w:rsidP="008A14E6">
            <w:pPr>
              <w:rPr>
                <w:rFonts w:ascii="Times New Roman" w:hAnsi="Times New Roman"/>
              </w:rPr>
            </w:pPr>
            <w:r w:rsidRPr="00233F94">
              <w:rPr>
                <w:rFonts w:ascii="Times New Roman" w:hAnsi="Times New Roman"/>
              </w:rPr>
              <w:t>Broj riješenih predmeta/ vrijeme rješavanja</w:t>
            </w:r>
          </w:p>
        </w:tc>
        <w:tc>
          <w:tcPr>
            <w:tcW w:w="850" w:type="dxa"/>
          </w:tcPr>
          <w:p w14:paraId="7AFF9075" w14:textId="3AEB3CDE" w:rsidR="00307A84" w:rsidRPr="00233F94" w:rsidRDefault="00213F53" w:rsidP="008A14E6">
            <w:pPr>
              <w:jc w:val="right"/>
              <w:rPr>
                <w:rFonts w:ascii="Times New Roman" w:hAnsi="Times New Roman"/>
              </w:rPr>
            </w:pPr>
            <w:r w:rsidRPr="00233F94">
              <w:rPr>
                <w:rFonts w:ascii="Times New Roman" w:hAnsi="Times New Roman"/>
              </w:rPr>
              <w:t>250</w:t>
            </w:r>
          </w:p>
        </w:tc>
        <w:tc>
          <w:tcPr>
            <w:tcW w:w="1463" w:type="dxa"/>
          </w:tcPr>
          <w:p w14:paraId="3955C3CD" w14:textId="03B329BB" w:rsidR="00307A84" w:rsidRPr="00233F94" w:rsidRDefault="00213F53" w:rsidP="008A14E6">
            <w:pPr>
              <w:jc w:val="right"/>
              <w:rPr>
                <w:rFonts w:ascii="Times New Roman" w:hAnsi="Times New Roman"/>
              </w:rPr>
            </w:pPr>
            <w:r w:rsidRPr="00233F94">
              <w:rPr>
                <w:rFonts w:ascii="Times New Roman" w:hAnsi="Times New Roman"/>
              </w:rPr>
              <w:t>650</w:t>
            </w:r>
          </w:p>
        </w:tc>
      </w:tr>
      <w:tr w:rsidR="00307A84" w:rsidRPr="00C23B1B" w14:paraId="33B3D6D4" w14:textId="77777777" w:rsidTr="008A14E6">
        <w:trPr>
          <w:trHeight w:val="376"/>
        </w:trPr>
        <w:tc>
          <w:tcPr>
            <w:tcW w:w="3539" w:type="dxa"/>
          </w:tcPr>
          <w:p w14:paraId="4486EC7E" w14:textId="77777777" w:rsidR="00307A84" w:rsidRPr="00233F94" w:rsidRDefault="00307A84" w:rsidP="008A14E6">
            <w:pPr>
              <w:rPr>
                <w:rFonts w:ascii="Times New Roman" w:hAnsi="Times New Roman"/>
              </w:rPr>
            </w:pPr>
            <w:r w:rsidRPr="00233F94">
              <w:rPr>
                <w:rFonts w:ascii="Times New Roman" w:hAnsi="Times New Roman"/>
              </w:rPr>
              <w:t>Redoviti troškovi poslovanja javne uprave i administracije</w:t>
            </w:r>
          </w:p>
        </w:tc>
        <w:tc>
          <w:tcPr>
            <w:tcW w:w="3119" w:type="dxa"/>
          </w:tcPr>
          <w:p w14:paraId="072B7691" w14:textId="77777777" w:rsidR="00307A84" w:rsidRPr="00233F94" w:rsidRDefault="00307A84" w:rsidP="008A14E6">
            <w:pPr>
              <w:rPr>
                <w:rFonts w:ascii="Times New Roman" w:hAnsi="Times New Roman"/>
              </w:rPr>
            </w:pPr>
            <w:r w:rsidRPr="00233F94">
              <w:rPr>
                <w:rFonts w:ascii="Times New Roman" w:hAnsi="Times New Roman"/>
              </w:rPr>
              <w:t>Trošak nabave sredstava, proizvoda i usluga za rad uprave po djelatniku</w:t>
            </w:r>
          </w:p>
        </w:tc>
        <w:tc>
          <w:tcPr>
            <w:tcW w:w="850" w:type="dxa"/>
          </w:tcPr>
          <w:p w14:paraId="29705585" w14:textId="13B28584" w:rsidR="00307A84" w:rsidRPr="00233F94" w:rsidRDefault="00307A84" w:rsidP="008A14E6">
            <w:pPr>
              <w:jc w:val="right"/>
              <w:rPr>
                <w:rFonts w:ascii="Times New Roman" w:hAnsi="Times New Roman"/>
              </w:rPr>
            </w:pPr>
            <w:r w:rsidRPr="00233F94">
              <w:rPr>
                <w:rFonts w:ascii="Times New Roman" w:hAnsi="Times New Roman"/>
              </w:rPr>
              <w:t>100</w:t>
            </w:r>
            <w:r w:rsidR="00FF15AB">
              <w:rPr>
                <w:rFonts w:ascii="Times New Roman" w:hAnsi="Times New Roman"/>
              </w:rPr>
              <w:t>%</w:t>
            </w:r>
          </w:p>
        </w:tc>
        <w:tc>
          <w:tcPr>
            <w:tcW w:w="1463" w:type="dxa"/>
          </w:tcPr>
          <w:p w14:paraId="558D95AC" w14:textId="379B8EC5" w:rsidR="00307A84" w:rsidRPr="00233F94" w:rsidRDefault="00FF15AB" w:rsidP="008A14E6">
            <w:pPr>
              <w:jc w:val="right"/>
              <w:rPr>
                <w:rFonts w:ascii="Times New Roman" w:hAnsi="Times New Roman"/>
              </w:rPr>
            </w:pPr>
            <w:r>
              <w:rPr>
                <w:rFonts w:ascii="Times New Roman" w:hAnsi="Times New Roman"/>
              </w:rPr>
              <w:t>94,09%</w:t>
            </w:r>
          </w:p>
        </w:tc>
      </w:tr>
    </w:tbl>
    <w:p w14:paraId="154559B6" w14:textId="77777777" w:rsidR="00307A84" w:rsidRDefault="00307A84" w:rsidP="00307A84">
      <w:pPr>
        <w:pStyle w:val="Default"/>
        <w:jc w:val="both"/>
        <w:rPr>
          <w:rFonts w:ascii="Times New Roman" w:hAnsi="Times New Roman" w:cs="Times New Roman"/>
          <w:color w:val="auto"/>
          <w:sz w:val="22"/>
          <w:szCs w:val="22"/>
        </w:rPr>
      </w:pPr>
    </w:p>
    <w:p w14:paraId="5D7D96D9" w14:textId="77777777" w:rsidR="00307A84" w:rsidRDefault="00307A84" w:rsidP="00307A84">
      <w:pPr>
        <w:spacing w:after="0" w:line="240" w:lineRule="auto"/>
        <w:jc w:val="both"/>
        <w:rPr>
          <w:rFonts w:ascii="Times New Roman" w:hAnsi="Times New Roman"/>
        </w:rPr>
      </w:pPr>
    </w:p>
    <w:p w14:paraId="2B6A8326" w14:textId="77777777" w:rsidR="00307A84" w:rsidRPr="00783746" w:rsidRDefault="00307A84" w:rsidP="00307A84">
      <w:pPr>
        <w:pStyle w:val="Default"/>
        <w:jc w:val="both"/>
        <w:rPr>
          <w:rFonts w:ascii="Times New Roman" w:hAnsi="Times New Roman" w:cs="Times New Roman"/>
          <w:sz w:val="22"/>
          <w:szCs w:val="22"/>
        </w:rPr>
      </w:pPr>
      <w:r w:rsidRPr="00783746">
        <w:rPr>
          <w:rFonts w:ascii="Times New Roman" w:hAnsi="Times New Roman" w:cs="Times New Roman"/>
          <w:sz w:val="22"/>
          <w:szCs w:val="22"/>
        </w:rPr>
        <w:t>Pod aktivnošću „</w:t>
      </w:r>
      <w:r>
        <w:rPr>
          <w:rFonts w:ascii="Times New Roman" w:hAnsi="Times New Roman" w:cs="Times New Roman"/>
          <w:b/>
          <w:sz w:val="22"/>
          <w:szCs w:val="22"/>
        </w:rPr>
        <w:t>Administrativno, tehničko i stručno osoblje JUO</w:t>
      </w:r>
      <w:r w:rsidRPr="00783746">
        <w:rPr>
          <w:rFonts w:ascii="Times New Roman" w:hAnsi="Times New Roman" w:cs="Times New Roman"/>
          <w:b/>
          <w:sz w:val="22"/>
          <w:szCs w:val="22"/>
        </w:rPr>
        <w:t>“</w:t>
      </w:r>
      <w:r w:rsidRPr="00783746">
        <w:rPr>
          <w:rFonts w:ascii="Times New Roman" w:hAnsi="Times New Roman" w:cs="Times New Roman"/>
          <w:sz w:val="22"/>
          <w:szCs w:val="22"/>
        </w:rPr>
        <w:t xml:space="preserve"> podrazumijevaju se izdaci za plaće zaposlenika Jedinstvenog upravnog odjela. Rashodi navedenog programa uključuju i dnevnice i naknade za smještaj i prijevoz na službenom putu, premije osiguranja zaposlenih, naknade za korištenje privatnog automobila u službene svrhe i službena zaštitna radna odjeća i obuća.</w:t>
      </w:r>
    </w:p>
    <w:p w14:paraId="3036019A" w14:textId="77777777" w:rsidR="00307A84" w:rsidRDefault="00307A84" w:rsidP="00307A84">
      <w:pPr>
        <w:pStyle w:val="Default"/>
        <w:jc w:val="both"/>
        <w:rPr>
          <w:rFonts w:ascii="Times New Roman" w:hAnsi="Times New Roman" w:cs="Times New Roman"/>
          <w:sz w:val="22"/>
          <w:szCs w:val="22"/>
        </w:rPr>
      </w:pPr>
      <w:r w:rsidRPr="00783746">
        <w:rPr>
          <w:rFonts w:ascii="Times New Roman" w:hAnsi="Times New Roman" w:cs="Times New Roman"/>
          <w:sz w:val="22"/>
          <w:szCs w:val="22"/>
        </w:rPr>
        <w:t xml:space="preserve">U navedenom programu prikazani su utrošci sredstava kroz odgovarajuće aktivnosti za omogućavanje redovitog poslovanja općinske uprave, odnosno izdaci kao što su uredski materijal, troškovi telefona i </w:t>
      </w:r>
      <w:r w:rsidRPr="003E0E22">
        <w:rPr>
          <w:rFonts w:ascii="Times New Roman" w:hAnsi="Times New Roman" w:cs="Times New Roman"/>
          <w:sz w:val="22"/>
          <w:szCs w:val="22"/>
        </w:rPr>
        <w:t xml:space="preserve">interneta, poštarina, usluge odvjetnika, usluge banaka, javnobilježničke pristojbe i slično. </w:t>
      </w:r>
    </w:p>
    <w:p w14:paraId="22E83EA6" w14:textId="77777777" w:rsidR="00307A84" w:rsidRDefault="00307A84" w:rsidP="00307A84">
      <w:pPr>
        <w:pStyle w:val="Default"/>
        <w:jc w:val="both"/>
        <w:rPr>
          <w:rFonts w:ascii="Times New Roman" w:hAnsi="Times New Roman" w:cs="Times New Roman"/>
          <w:sz w:val="22"/>
          <w:szCs w:val="22"/>
        </w:rPr>
      </w:pPr>
    </w:p>
    <w:p w14:paraId="42B827A4" w14:textId="77777777" w:rsidR="00307A84" w:rsidRPr="003E0E22" w:rsidRDefault="00307A84" w:rsidP="00307A84">
      <w:pPr>
        <w:pStyle w:val="Default"/>
        <w:jc w:val="both"/>
        <w:rPr>
          <w:rFonts w:ascii="Times New Roman" w:hAnsi="Times New Roman" w:cs="Times New Roman"/>
          <w:sz w:val="22"/>
          <w:szCs w:val="22"/>
        </w:rPr>
      </w:pPr>
      <w:r>
        <w:rPr>
          <w:rFonts w:ascii="Times New Roman" w:hAnsi="Times New Roman" w:cs="Times New Roman"/>
          <w:sz w:val="22"/>
          <w:szCs w:val="22"/>
        </w:rPr>
        <w:t>Izvršenje navedenog programa za 2025. godinu nema značajnije odstupanje u odnosu na prethodnu 2024. godinu. Izvršenje programa za 2025. godinu bilježi smanjenje troškova za 5,61 %.</w:t>
      </w:r>
    </w:p>
    <w:p w14:paraId="55D6C5AE" w14:textId="77777777" w:rsidR="00307A84" w:rsidRPr="00307A84" w:rsidRDefault="00307A84" w:rsidP="00307A84">
      <w:pPr>
        <w:spacing w:after="0" w:line="240" w:lineRule="auto"/>
        <w:jc w:val="both"/>
        <w:rPr>
          <w:rFonts w:ascii="Times New Roman" w:hAnsi="Times New Roman"/>
        </w:rPr>
        <w:sectPr w:rsidR="00307A84" w:rsidRPr="00307A84" w:rsidSect="003D1492">
          <w:pgSz w:w="11906" w:h="16838"/>
          <w:pgMar w:top="1418" w:right="1418" w:bottom="1418" w:left="1418" w:header="708" w:footer="708" w:gutter="0"/>
          <w:cols w:space="708"/>
          <w:docGrid w:linePitch="360"/>
        </w:sectPr>
      </w:pPr>
    </w:p>
    <w:p w14:paraId="7A80E4E7" w14:textId="2CCDE61F" w:rsidR="00783746" w:rsidRPr="00771274" w:rsidRDefault="00783746" w:rsidP="00783746">
      <w:pPr>
        <w:pStyle w:val="Default"/>
        <w:jc w:val="both"/>
        <w:rPr>
          <w:rFonts w:ascii="Times New Roman" w:hAnsi="Times New Roman" w:cs="Times New Roman"/>
          <w:i/>
          <w:color w:val="auto"/>
          <w:sz w:val="22"/>
          <w:szCs w:val="22"/>
        </w:rPr>
      </w:pPr>
      <w:r w:rsidRPr="00771274">
        <w:rPr>
          <w:rFonts w:ascii="Times New Roman" w:hAnsi="Times New Roman" w:cs="Times New Roman"/>
          <w:b/>
          <w:color w:val="auto"/>
          <w:sz w:val="22"/>
          <w:szCs w:val="22"/>
        </w:rPr>
        <w:lastRenderedPageBreak/>
        <w:t xml:space="preserve">Grafički prikaz broj </w:t>
      </w:r>
      <w:r w:rsidR="00EA2D87">
        <w:rPr>
          <w:rFonts w:ascii="Times New Roman" w:hAnsi="Times New Roman" w:cs="Times New Roman"/>
          <w:b/>
          <w:color w:val="auto"/>
          <w:sz w:val="22"/>
          <w:szCs w:val="22"/>
        </w:rPr>
        <w:t>7</w:t>
      </w:r>
      <w:r w:rsidRPr="00771274">
        <w:rPr>
          <w:rFonts w:ascii="Times New Roman" w:hAnsi="Times New Roman" w:cs="Times New Roman"/>
          <w:b/>
          <w:color w:val="auto"/>
          <w:sz w:val="22"/>
          <w:szCs w:val="22"/>
        </w:rPr>
        <w:t xml:space="preserve">. : </w:t>
      </w:r>
      <w:r w:rsidRPr="00771274">
        <w:rPr>
          <w:rFonts w:ascii="Times New Roman" w:hAnsi="Times New Roman"/>
          <w:iCs/>
          <w:color w:val="auto"/>
          <w:sz w:val="22"/>
          <w:szCs w:val="22"/>
        </w:rPr>
        <w:t>U</w:t>
      </w:r>
      <w:r w:rsidRPr="00771274">
        <w:rPr>
          <w:rFonts w:ascii="Times New Roman" w:hAnsi="Times New Roman"/>
          <w:bCs/>
          <w:iCs/>
          <w:color w:val="auto"/>
          <w:sz w:val="22"/>
          <w:szCs w:val="22"/>
        </w:rPr>
        <w:t xml:space="preserve">sporedni prikaz realizacije Programa </w:t>
      </w:r>
      <w:r w:rsidRPr="00771274">
        <w:rPr>
          <w:rFonts w:ascii="Times New Roman" w:hAnsi="Times New Roman"/>
          <w:b/>
          <w:iCs/>
          <w:color w:val="auto"/>
          <w:sz w:val="22"/>
          <w:szCs w:val="22"/>
        </w:rPr>
        <w:t>„Mjere i aktivnosti za osiguranje rada iz djelokruga Jedinstvenog upravnog odijela“</w:t>
      </w:r>
      <w:r w:rsidRPr="00771274">
        <w:rPr>
          <w:rFonts w:ascii="Times New Roman" w:hAnsi="Times New Roman"/>
          <w:bCs/>
          <w:iCs/>
          <w:color w:val="auto"/>
          <w:sz w:val="22"/>
          <w:szCs w:val="22"/>
        </w:rPr>
        <w:t xml:space="preserve"> </w:t>
      </w:r>
      <w:r w:rsidRPr="00771274">
        <w:rPr>
          <w:rFonts w:ascii="Times New Roman" w:hAnsi="Times New Roman"/>
          <w:iCs/>
          <w:color w:val="auto"/>
          <w:sz w:val="22"/>
          <w:szCs w:val="22"/>
        </w:rPr>
        <w:t xml:space="preserve"> </w:t>
      </w:r>
      <w:r w:rsidRPr="00771274">
        <w:rPr>
          <w:rFonts w:ascii="Times New Roman" w:hAnsi="Times New Roman"/>
          <w:bCs/>
          <w:iCs/>
          <w:color w:val="auto"/>
          <w:sz w:val="22"/>
          <w:szCs w:val="22"/>
        </w:rPr>
        <w:t xml:space="preserve">od 01. siječnja do </w:t>
      </w:r>
      <w:r w:rsidR="00771274">
        <w:rPr>
          <w:rFonts w:ascii="Times New Roman" w:hAnsi="Times New Roman"/>
          <w:bCs/>
          <w:iCs/>
          <w:color w:val="auto"/>
          <w:sz w:val="22"/>
          <w:szCs w:val="22"/>
        </w:rPr>
        <w:t>31. prosinca</w:t>
      </w:r>
      <w:r w:rsidRPr="00771274">
        <w:rPr>
          <w:rFonts w:ascii="Times New Roman" w:hAnsi="Times New Roman"/>
          <w:bCs/>
          <w:iCs/>
          <w:color w:val="auto"/>
          <w:sz w:val="22"/>
          <w:szCs w:val="22"/>
        </w:rPr>
        <w:t xml:space="preserve"> 202</w:t>
      </w:r>
      <w:r w:rsidR="00F4775C">
        <w:rPr>
          <w:rFonts w:ascii="Times New Roman" w:hAnsi="Times New Roman"/>
          <w:bCs/>
          <w:iCs/>
          <w:color w:val="auto"/>
          <w:sz w:val="22"/>
          <w:szCs w:val="22"/>
        </w:rPr>
        <w:t>5. godine u odnosu na Proračun</w:t>
      </w:r>
      <w:r w:rsidRPr="00771274">
        <w:rPr>
          <w:rFonts w:ascii="Times New Roman" w:hAnsi="Times New Roman"/>
          <w:bCs/>
          <w:iCs/>
          <w:color w:val="auto"/>
          <w:sz w:val="22"/>
          <w:szCs w:val="22"/>
        </w:rPr>
        <w:t xml:space="preserve"> za 202</w:t>
      </w:r>
      <w:r w:rsidR="00F4775C">
        <w:rPr>
          <w:rFonts w:ascii="Times New Roman" w:hAnsi="Times New Roman"/>
          <w:bCs/>
          <w:iCs/>
          <w:color w:val="auto"/>
          <w:sz w:val="22"/>
          <w:szCs w:val="22"/>
        </w:rPr>
        <w:t>5</w:t>
      </w:r>
      <w:r w:rsidRPr="00771274">
        <w:rPr>
          <w:rFonts w:ascii="Times New Roman" w:hAnsi="Times New Roman"/>
          <w:bCs/>
          <w:iCs/>
          <w:color w:val="auto"/>
          <w:sz w:val="22"/>
          <w:szCs w:val="22"/>
        </w:rPr>
        <w:t>. godinu</w:t>
      </w:r>
      <w:r w:rsidRPr="00771274">
        <w:rPr>
          <w:rFonts w:ascii="Times New Roman" w:hAnsi="Times New Roman"/>
          <w:bCs/>
          <w:i/>
          <w:color w:val="auto"/>
          <w:sz w:val="22"/>
          <w:szCs w:val="22"/>
        </w:rPr>
        <w:t xml:space="preserve">    </w:t>
      </w:r>
    </w:p>
    <w:p w14:paraId="3DDA62E9" w14:textId="77777777" w:rsidR="00476ACD" w:rsidRDefault="00476ACD" w:rsidP="005D74B7">
      <w:pPr>
        <w:pStyle w:val="Default"/>
        <w:jc w:val="both"/>
        <w:rPr>
          <w:rFonts w:ascii="Times New Roman" w:hAnsi="Times New Roman" w:cs="Times New Roman"/>
          <w:i/>
          <w:color w:val="auto"/>
        </w:rPr>
      </w:pPr>
    </w:p>
    <w:p w14:paraId="7E115B2F" w14:textId="62BF146B" w:rsidR="00476ACD" w:rsidRDefault="00F4775C" w:rsidP="005D74B7">
      <w:pPr>
        <w:pStyle w:val="Default"/>
        <w:jc w:val="both"/>
        <w:rPr>
          <w:rFonts w:ascii="Times New Roman" w:hAnsi="Times New Roman" w:cs="Times New Roman"/>
          <w:i/>
          <w:color w:val="auto"/>
        </w:rPr>
        <w:sectPr w:rsidR="00476ACD" w:rsidSect="00476ACD">
          <w:pgSz w:w="16838" w:h="11906" w:orient="landscape"/>
          <w:pgMar w:top="1418" w:right="1418" w:bottom="1418" w:left="1418" w:header="709" w:footer="709" w:gutter="0"/>
          <w:cols w:space="708"/>
          <w:docGrid w:linePitch="360"/>
        </w:sectPr>
      </w:pPr>
      <w:r>
        <w:rPr>
          <w:noProof/>
          <w:lang w:eastAsia="hr-HR"/>
        </w:rPr>
        <w:drawing>
          <wp:inline distT="0" distB="0" distL="0" distR="0" wp14:anchorId="577F3C37" wp14:editId="788AC69A">
            <wp:extent cx="8891270" cy="5078095"/>
            <wp:effectExtent l="0" t="0" r="5080" b="8255"/>
            <wp:docPr id="10" name="Chart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2700AC-4621-4E20-9EBC-F40B75768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406BF" w14:textId="51669ECD" w:rsidR="005527B8" w:rsidRPr="007A1751" w:rsidRDefault="005527B8" w:rsidP="005527B8">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lastRenderedPageBreak/>
        <w:t>Program 1006</w:t>
      </w:r>
      <w:r w:rsidRPr="007A1751">
        <w:rPr>
          <w:rFonts w:ascii="Times New Roman" w:hAnsi="Times New Roman" w:cs="Times New Roman"/>
          <w:b/>
          <w:color w:val="auto"/>
          <w:w w:val="115"/>
        </w:rPr>
        <w:t xml:space="preserve">: </w:t>
      </w:r>
      <w:r>
        <w:rPr>
          <w:rFonts w:ascii="Times New Roman" w:hAnsi="Times New Roman" w:cs="Times New Roman"/>
          <w:b/>
          <w:color w:val="auto"/>
          <w:w w:val="115"/>
        </w:rPr>
        <w:t>PROTUPOŽARNA I CIVILNA ZAŠTITA</w:t>
      </w:r>
    </w:p>
    <w:p w14:paraId="1429576F" w14:textId="77777777" w:rsidR="006F753A" w:rsidRDefault="006F753A" w:rsidP="005D74B7">
      <w:pPr>
        <w:pStyle w:val="Default"/>
        <w:jc w:val="both"/>
        <w:rPr>
          <w:rFonts w:ascii="Times New Roman" w:hAnsi="Times New Roman" w:cs="Times New Roman"/>
          <w:color w:val="auto"/>
          <w:sz w:val="22"/>
          <w:szCs w:val="22"/>
        </w:rPr>
      </w:pPr>
    </w:p>
    <w:p w14:paraId="35D29C31" w14:textId="77777777" w:rsidR="00E5478D" w:rsidRPr="00A67008" w:rsidRDefault="001B52FB" w:rsidP="005D74B7">
      <w:pPr>
        <w:pStyle w:val="Default"/>
        <w:jc w:val="both"/>
        <w:rPr>
          <w:rFonts w:ascii="Times New Roman" w:hAnsi="Times New Roman" w:cs="Times New Roman"/>
          <w:color w:val="auto"/>
        </w:rPr>
      </w:pPr>
      <w:r w:rsidRPr="00A67008">
        <w:rPr>
          <w:rFonts w:ascii="Times New Roman" w:hAnsi="Times New Roman" w:cs="Times New Roman"/>
          <w:color w:val="auto"/>
          <w:sz w:val="22"/>
          <w:szCs w:val="22"/>
        </w:rPr>
        <w:t xml:space="preserve">Programom </w:t>
      </w:r>
      <w:r w:rsidRPr="00A67008">
        <w:rPr>
          <w:rFonts w:ascii="Times New Roman" w:hAnsi="Times New Roman" w:cs="Times New Roman"/>
          <w:b/>
          <w:bCs/>
          <w:color w:val="auto"/>
          <w:sz w:val="22"/>
          <w:szCs w:val="22"/>
        </w:rPr>
        <w:t>„Protupožarne i civilne zaštite“</w:t>
      </w:r>
      <w:r w:rsidRPr="00A67008">
        <w:rPr>
          <w:rFonts w:ascii="Times New Roman" w:hAnsi="Times New Roman" w:cs="Times New Roman"/>
          <w:color w:val="auto"/>
          <w:sz w:val="22"/>
          <w:szCs w:val="22"/>
        </w:rPr>
        <w:t xml:space="preserve"> se osiguravaju financijska sredstva potrebna za funkcioniranje Vatrogasne zajednice i Dobrovoljnog vatrogasnog društva Oprtalj. Cilj programa je unapređenje kvalitete života, te stvaranja uvjeta za kvalitetno i efikasno funkcioniranje protupožarne zaštite u skladu sa zakonskim propisima, procjeni ugroženosti od požara i tehnoloških eksplozija te planu zaštite od požara i tehnoloških eksplozija na području Općine Oprtalj.</w:t>
      </w:r>
    </w:p>
    <w:p w14:paraId="6BBED2FF" w14:textId="77777777" w:rsidR="00E5478D" w:rsidRPr="001B52FB" w:rsidRDefault="00E5478D" w:rsidP="001B52FB">
      <w:pPr>
        <w:pStyle w:val="Default"/>
        <w:jc w:val="both"/>
        <w:rPr>
          <w:rFonts w:ascii="Times New Roman" w:hAnsi="Times New Roman" w:cs="Times New Roman"/>
        </w:rPr>
      </w:pPr>
    </w:p>
    <w:p w14:paraId="12B1809E" w14:textId="5FB6494F" w:rsidR="001B52FB" w:rsidRPr="007E5BB9" w:rsidRDefault="001B52FB" w:rsidP="007E5BB9">
      <w:pPr>
        <w:spacing w:after="0" w:line="240" w:lineRule="auto"/>
        <w:jc w:val="both"/>
        <w:rPr>
          <w:rFonts w:ascii="Times New Roman" w:hAnsi="Times New Roman"/>
          <w:b/>
        </w:rPr>
      </w:pPr>
      <w:r w:rsidRPr="001B52FB">
        <w:rPr>
          <w:rFonts w:ascii="Times New Roman" w:hAnsi="Times New Roman"/>
          <w:b/>
        </w:rPr>
        <w:t xml:space="preserve">Cilj programa Protupožarne i civilne zaštite: </w:t>
      </w:r>
      <w:r w:rsidRPr="001B52FB">
        <w:rPr>
          <w:rFonts w:ascii="Times New Roman" w:hAnsi="Times New Roman"/>
        </w:rPr>
        <w:t xml:space="preserve">Uređenje, planiranje, organiziranje, financiranje i provedba sustava civilne zaštite, financiranje Hrvatske gorske službe spašavanja, skrb o potrebama i interesima građana za organiziranjem i djelovanjem učinkovite vatrogasne službe, provedba mjera </w:t>
      </w:r>
      <w:r w:rsidRPr="007E5BB9">
        <w:rPr>
          <w:rFonts w:ascii="Times New Roman" w:hAnsi="Times New Roman"/>
        </w:rPr>
        <w:t>zaštite od požara.</w:t>
      </w:r>
      <w:r w:rsidR="0096189A">
        <w:rPr>
          <w:rFonts w:ascii="Times New Roman" w:hAnsi="Times New Roman"/>
        </w:rPr>
        <w:t xml:space="preserve"> U </w:t>
      </w:r>
      <w:r w:rsidR="005527B8">
        <w:rPr>
          <w:rFonts w:ascii="Times New Roman" w:hAnsi="Times New Roman"/>
        </w:rPr>
        <w:t>2025</w:t>
      </w:r>
      <w:r w:rsidR="0093046B">
        <w:rPr>
          <w:rFonts w:ascii="Times New Roman" w:hAnsi="Times New Roman"/>
        </w:rPr>
        <w:t>. godini</w:t>
      </w:r>
      <w:r w:rsidR="0096189A">
        <w:rPr>
          <w:rFonts w:ascii="Times New Roman" w:hAnsi="Times New Roman"/>
        </w:rPr>
        <w:t xml:space="preserve"> utrošena su sredstva u iznosu od </w:t>
      </w:r>
      <w:r w:rsidR="005527B8">
        <w:rPr>
          <w:rFonts w:ascii="Times New Roman" w:hAnsi="Times New Roman"/>
        </w:rPr>
        <w:t>126.038,68</w:t>
      </w:r>
      <w:r w:rsidR="0096189A">
        <w:rPr>
          <w:rFonts w:ascii="Times New Roman" w:hAnsi="Times New Roman"/>
        </w:rPr>
        <w:t xml:space="preserve"> EUR. Najznačajniji iznos odnosi se na financiranje Područne vatrogasne zajednice Umag, te Javne vatrogasne postrojbe Umag.</w:t>
      </w:r>
    </w:p>
    <w:p w14:paraId="3E9FEA2A" w14:textId="77777777" w:rsidR="00E5478D" w:rsidRPr="007E5BB9" w:rsidRDefault="00E5478D" w:rsidP="007E5BB9">
      <w:pPr>
        <w:pStyle w:val="Default"/>
        <w:jc w:val="both"/>
        <w:rPr>
          <w:rFonts w:ascii="Times New Roman" w:hAnsi="Times New Roman" w:cs="Times New Roman"/>
          <w:sz w:val="22"/>
          <w:szCs w:val="22"/>
        </w:rPr>
      </w:pPr>
    </w:p>
    <w:p w14:paraId="17E73303" w14:textId="77777777" w:rsidR="007E5BB9" w:rsidRDefault="001B52FB" w:rsidP="007E5BB9">
      <w:pPr>
        <w:pStyle w:val="Default"/>
        <w:jc w:val="both"/>
        <w:rPr>
          <w:rFonts w:ascii="Times New Roman" w:hAnsi="Times New Roman" w:cs="Times New Roman"/>
          <w:sz w:val="22"/>
          <w:szCs w:val="22"/>
        </w:rPr>
      </w:pPr>
      <w:r w:rsidRPr="007E5BB9">
        <w:rPr>
          <w:rFonts w:ascii="Times New Roman" w:hAnsi="Times New Roman" w:cs="Times New Roman"/>
          <w:b/>
          <w:bCs/>
          <w:sz w:val="22"/>
          <w:szCs w:val="22"/>
        </w:rPr>
        <w:t>Pokazatelji uspješnosti:</w:t>
      </w:r>
    </w:p>
    <w:p w14:paraId="1B9CC732" w14:textId="77777777" w:rsidR="007E5BB9" w:rsidRDefault="001B52FB" w:rsidP="007E5BB9">
      <w:pPr>
        <w:pStyle w:val="Default"/>
        <w:numPr>
          <w:ilvl w:val="0"/>
          <w:numId w:val="18"/>
        </w:numPr>
        <w:jc w:val="both"/>
        <w:rPr>
          <w:rFonts w:ascii="Times New Roman" w:hAnsi="Times New Roman" w:cs="Times New Roman"/>
          <w:sz w:val="22"/>
          <w:szCs w:val="22"/>
        </w:rPr>
      </w:pPr>
      <w:r w:rsidRPr="007E5BB9">
        <w:rPr>
          <w:rFonts w:ascii="Times New Roman" w:hAnsi="Times New Roman" w:cs="Times New Roman"/>
          <w:sz w:val="22"/>
          <w:szCs w:val="22"/>
        </w:rPr>
        <w:t xml:space="preserve">održavanje broja intervencija HGSS na području </w:t>
      </w:r>
      <w:r w:rsidR="007E5BB9">
        <w:rPr>
          <w:rFonts w:ascii="Times New Roman" w:hAnsi="Times New Roman" w:cs="Times New Roman"/>
          <w:sz w:val="22"/>
          <w:szCs w:val="22"/>
        </w:rPr>
        <w:t>Općine Oprtalj</w:t>
      </w:r>
    </w:p>
    <w:p w14:paraId="563D5754" w14:textId="4E5AF8F8" w:rsidR="00E5478D" w:rsidRDefault="007E5BB9" w:rsidP="005D74B7">
      <w:pPr>
        <w:pStyle w:val="Default"/>
        <w:numPr>
          <w:ilvl w:val="0"/>
          <w:numId w:val="18"/>
        </w:numPr>
        <w:jc w:val="both"/>
        <w:rPr>
          <w:rFonts w:ascii="Times New Roman" w:hAnsi="Times New Roman" w:cs="Times New Roman"/>
          <w:sz w:val="22"/>
          <w:szCs w:val="22"/>
        </w:rPr>
      </w:pPr>
      <w:r w:rsidRPr="007E5BB9">
        <w:rPr>
          <w:rFonts w:ascii="Times New Roman" w:hAnsi="Times New Roman" w:cs="Times New Roman"/>
          <w:sz w:val="22"/>
          <w:szCs w:val="22"/>
        </w:rPr>
        <w:t xml:space="preserve">broj dobrovoljnih vatrogasaca uključenih u dobrovoljna vatrogasna društva u sastavu </w:t>
      </w:r>
      <w:r>
        <w:rPr>
          <w:rFonts w:ascii="Times New Roman" w:hAnsi="Times New Roman" w:cs="Times New Roman"/>
          <w:sz w:val="22"/>
          <w:szCs w:val="22"/>
        </w:rPr>
        <w:t>Dobrovoljnog vatrogasnog društva Oprtalj</w:t>
      </w:r>
      <w:r w:rsidRPr="007E5BB9">
        <w:rPr>
          <w:rFonts w:ascii="Times New Roman" w:hAnsi="Times New Roman" w:cs="Times New Roman"/>
          <w:sz w:val="22"/>
          <w:szCs w:val="22"/>
        </w:rPr>
        <w:t>.</w:t>
      </w:r>
    </w:p>
    <w:p w14:paraId="6F274AAA" w14:textId="77777777" w:rsidR="005527B8" w:rsidRPr="00A67008" w:rsidRDefault="005527B8" w:rsidP="005527B8">
      <w:pPr>
        <w:pStyle w:val="Default"/>
        <w:ind w:left="720"/>
        <w:jc w:val="both"/>
        <w:rPr>
          <w:rFonts w:ascii="Times New Roman" w:hAnsi="Times New Roman" w:cs="Times New Roman"/>
          <w:sz w:val="22"/>
          <w:szCs w:val="22"/>
        </w:rPr>
      </w:pPr>
    </w:p>
    <w:tbl>
      <w:tblPr>
        <w:tblStyle w:val="TableGrid"/>
        <w:tblW w:w="9060" w:type="dxa"/>
        <w:tblLook w:val="04A0" w:firstRow="1" w:lastRow="0" w:firstColumn="1" w:lastColumn="0" w:noHBand="0" w:noVBand="1"/>
      </w:tblPr>
      <w:tblGrid>
        <w:gridCol w:w="2830"/>
        <w:gridCol w:w="3828"/>
        <w:gridCol w:w="850"/>
        <w:gridCol w:w="1552"/>
      </w:tblGrid>
      <w:tr w:rsidR="00125931" w:rsidRPr="005527B8" w14:paraId="6BD6F177" w14:textId="77777777" w:rsidTr="001870D6">
        <w:trPr>
          <w:trHeight w:val="357"/>
        </w:trPr>
        <w:tc>
          <w:tcPr>
            <w:tcW w:w="2830" w:type="dxa"/>
            <w:shd w:val="clear" w:color="auto" w:fill="F2F2F2" w:themeFill="background1" w:themeFillShade="F2"/>
          </w:tcPr>
          <w:p w14:paraId="0BBA575A" w14:textId="77777777" w:rsidR="0096189A" w:rsidRPr="008B0115" w:rsidRDefault="0096189A" w:rsidP="001870D6">
            <w:pPr>
              <w:jc w:val="center"/>
              <w:rPr>
                <w:rFonts w:ascii="Times New Roman" w:hAnsi="Times New Roman"/>
                <w:b/>
                <w:bCs/>
              </w:rPr>
            </w:pPr>
            <w:r w:rsidRPr="008B0115">
              <w:rPr>
                <w:rFonts w:ascii="Times New Roman" w:hAnsi="Times New Roman"/>
                <w:b/>
                <w:bCs/>
              </w:rPr>
              <w:t>NAZIV AKTIVNOSTI</w:t>
            </w:r>
          </w:p>
        </w:tc>
        <w:tc>
          <w:tcPr>
            <w:tcW w:w="3828" w:type="dxa"/>
            <w:shd w:val="clear" w:color="auto" w:fill="F2F2F2" w:themeFill="background1" w:themeFillShade="F2"/>
          </w:tcPr>
          <w:p w14:paraId="06B5D644" w14:textId="77777777" w:rsidR="0096189A" w:rsidRPr="008B0115" w:rsidRDefault="0096189A" w:rsidP="001870D6">
            <w:pPr>
              <w:jc w:val="center"/>
              <w:rPr>
                <w:rFonts w:ascii="Times New Roman" w:hAnsi="Times New Roman"/>
                <w:b/>
                <w:bCs/>
              </w:rPr>
            </w:pPr>
            <w:r w:rsidRPr="008B0115">
              <w:rPr>
                <w:rFonts w:ascii="Times New Roman" w:hAnsi="Times New Roman"/>
                <w:b/>
                <w:bCs/>
              </w:rPr>
              <w:t>OPIS POKAZATELJA</w:t>
            </w:r>
          </w:p>
        </w:tc>
        <w:tc>
          <w:tcPr>
            <w:tcW w:w="850" w:type="dxa"/>
            <w:shd w:val="clear" w:color="auto" w:fill="F2F2F2" w:themeFill="background1" w:themeFillShade="F2"/>
          </w:tcPr>
          <w:p w14:paraId="08E99585" w14:textId="77777777" w:rsidR="0096189A" w:rsidRPr="008B0115" w:rsidRDefault="0096189A" w:rsidP="001870D6">
            <w:pPr>
              <w:jc w:val="center"/>
              <w:rPr>
                <w:rFonts w:ascii="Times New Roman" w:hAnsi="Times New Roman"/>
                <w:b/>
                <w:bCs/>
              </w:rPr>
            </w:pPr>
            <w:r w:rsidRPr="008B0115">
              <w:rPr>
                <w:rFonts w:ascii="Times New Roman" w:hAnsi="Times New Roman"/>
                <w:b/>
                <w:bCs/>
              </w:rPr>
              <w:t>PLAN</w:t>
            </w:r>
          </w:p>
        </w:tc>
        <w:tc>
          <w:tcPr>
            <w:tcW w:w="1552" w:type="dxa"/>
            <w:shd w:val="clear" w:color="auto" w:fill="F2F2F2" w:themeFill="background1" w:themeFillShade="F2"/>
          </w:tcPr>
          <w:p w14:paraId="0419C63E" w14:textId="77777777" w:rsidR="0096189A" w:rsidRPr="008B0115" w:rsidRDefault="0096189A" w:rsidP="001870D6">
            <w:pPr>
              <w:jc w:val="center"/>
              <w:rPr>
                <w:rFonts w:ascii="Times New Roman" w:hAnsi="Times New Roman"/>
                <w:b/>
                <w:bCs/>
              </w:rPr>
            </w:pPr>
            <w:r w:rsidRPr="008B0115">
              <w:rPr>
                <w:rFonts w:ascii="Times New Roman" w:hAnsi="Times New Roman"/>
                <w:b/>
                <w:bCs/>
              </w:rPr>
              <w:t>IZVRŠENJE</w:t>
            </w:r>
          </w:p>
        </w:tc>
      </w:tr>
      <w:tr w:rsidR="00125931" w:rsidRPr="005527B8" w14:paraId="1919D561" w14:textId="77777777" w:rsidTr="001870D6">
        <w:trPr>
          <w:trHeight w:val="357"/>
        </w:trPr>
        <w:tc>
          <w:tcPr>
            <w:tcW w:w="2830" w:type="dxa"/>
            <w:shd w:val="clear" w:color="auto" w:fill="FFFFFF" w:themeFill="background1"/>
          </w:tcPr>
          <w:p w14:paraId="2FFA643B" w14:textId="77777777" w:rsidR="0096189A" w:rsidRPr="008B0115" w:rsidRDefault="0096189A" w:rsidP="001870D6">
            <w:pPr>
              <w:rPr>
                <w:rFonts w:ascii="Times New Roman" w:hAnsi="Times New Roman"/>
              </w:rPr>
            </w:pPr>
            <w:r w:rsidRPr="008B0115">
              <w:rPr>
                <w:rFonts w:ascii="Times New Roman" w:hAnsi="Times New Roman"/>
              </w:rPr>
              <w:t>Osnovna djelatnost DVD - a</w:t>
            </w:r>
          </w:p>
        </w:tc>
        <w:tc>
          <w:tcPr>
            <w:tcW w:w="3828" w:type="dxa"/>
            <w:shd w:val="clear" w:color="auto" w:fill="FFFFFF" w:themeFill="background1"/>
          </w:tcPr>
          <w:p w14:paraId="33E40AF8" w14:textId="69481CB1" w:rsidR="0096189A" w:rsidRPr="008B0115" w:rsidRDefault="0096189A" w:rsidP="001870D6">
            <w:pPr>
              <w:rPr>
                <w:rFonts w:ascii="Times New Roman" w:hAnsi="Times New Roman"/>
              </w:rPr>
            </w:pPr>
            <w:r w:rsidRPr="008B0115">
              <w:rPr>
                <w:rFonts w:ascii="Times New Roman" w:hAnsi="Times New Roman"/>
              </w:rPr>
              <w:t>Broj intervencija</w:t>
            </w:r>
            <w:r w:rsidR="00DB04C4" w:rsidRPr="008B0115">
              <w:rPr>
                <w:rFonts w:ascii="Times New Roman" w:hAnsi="Times New Roman"/>
              </w:rPr>
              <w:t xml:space="preserve"> na području općine</w:t>
            </w:r>
          </w:p>
        </w:tc>
        <w:tc>
          <w:tcPr>
            <w:tcW w:w="850" w:type="dxa"/>
            <w:shd w:val="clear" w:color="auto" w:fill="FFFFFF" w:themeFill="background1"/>
          </w:tcPr>
          <w:p w14:paraId="4E859646" w14:textId="77777777" w:rsidR="0096189A" w:rsidRPr="008B0115" w:rsidRDefault="0096189A" w:rsidP="001870D6">
            <w:pPr>
              <w:jc w:val="right"/>
              <w:rPr>
                <w:rFonts w:ascii="Times New Roman" w:hAnsi="Times New Roman"/>
              </w:rPr>
            </w:pPr>
            <w:r w:rsidRPr="008B0115">
              <w:rPr>
                <w:rFonts w:ascii="Times New Roman" w:hAnsi="Times New Roman"/>
              </w:rPr>
              <w:t>0</w:t>
            </w:r>
          </w:p>
        </w:tc>
        <w:tc>
          <w:tcPr>
            <w:tcW w:w="1552" w:type="dxa"/>
            <w:shd w:val="clear" w:color="auto" w:fill="FFFFFF" w:themeFill="background1"/>
          </w:tcPr>
          <w:p w14:paraId="75E2CE86" w14:textId="1B9EBE41" w:rsidR="0096189A" w:rsidRPr="008B0115" w:rsidRDefault="008B0115" w:rsidP="001870D6">
            <w:pPr>
              <w:jc w:val="right"/>
              <w:rPr>
                <w:rFonts w:ascii="Times New Roman" w:hAnsi="Times New Roman"/>
              </w:rPr>
            </w:pPr>
            <w:r>
              <w:rPr>
                <w:rFonts w:ascii="Times New Roman" w:hAnsi="Times New Roman"/>
              </w:rPr>
              <w:t>40</w:t>
            </w:r>
          </w:p>
        </w:tc>
      </w:tr>
      <w:tr w:rsidR="00125931" w:rsidRPr="005527B8" w14:paraId="7FCF5E14" w14:textId="77777777" w:rsidTr="001870D6">
        <w:trPr>
          <w:trHeight w:val="280"/>
        </w:trPr>
        <w:tc>
          <w:tcPr>
            <w:tcW w:w="2830" w:type="dxa"/>
          </w:tcPr>
          <w:p w14:paraId="0F1BB6E5" w14:textId="77777777" w:rsidR="0096189A" w:rsidRPr="008B0115" w:rsidRDefault="0096189A" w:rsidP="001870D6">
            <w:pPr>
              <w:rPr>
                <w:rFonts w:ascii="Times New Roman" w:hAnsi="Times New Roman"/>
              </w:rPr>
            </w:pPr>
            <w:r w:rsidRPr="008B0115">
              <w:rPr>
                <w:rFonts w:ascii="Times New Roman" w:hAnsi="Times New Roman"/>
              </w:rPr>
              <w:t>Financiranje HGSS</w:t>
            </w:r>
          </w:p>
        </w:tc>
        <w:tc>
          <w:tcPr>
            <w:tcW w:w="3828" w:type="dxa"/>
          </w:tcPr>
          <w:p w14:paraId="35441BB3" w14:textId="77777777" w:rsidR="0096189A" w:rsidRPr="008B0115" w:rsidRDefault="0096189A" w:rsidP="001870D6">
            <w:pPr>
              <w:rPr>
                <w:rFonts w:ascii="Times New Roman" w:hAnsi="Times New Roman"/>
              </w:rPr>
            </w:pPr>
            <w:r w:rsidRPr="008B0115">
              <w:rPr>
                <w:rFonts w:ascii="Times New Roman" w:hAnsi="Times New Roman"/>
              </w:rPr>
              <w:t>Broj intervencija na području općine</w:t>
            </w:r>
          </w:p>
        </w:tc>
        <w:tc>
          <w:tcPr>
            <w:tcW w:w="850" w:type="dxa"/>
          </w:tcPr>
          <w:p w14:paraId="10E777D3" w14:textId="77777777" w:rsidR="0096189A" w:rsidRPr="008B0115" w:rsidRDefault="0096189A" w:rsidP="001870D6">
            <w:pPr>
              <w:jc w:val="right"/>
              <w:rPr>
                <w:rFonts w:ascii="Times New Roman" w:hAnsi="Times New Roman"/>
              </w:rPr>
            </w:pPr>
            <w:r w:rsidRPr="008B0115">
              <w:rPr>
                <w:rFonts w:ascii="Times New Roman" w:hAnsi="Times New Roman"/>
              </w:rPr>
              <w:t>0</w:t>
            </w:r>
          </w:p>
        </w:tc>
        <w:tc>
          <w:tcPr>
            <w:tcW w:w="1552" w:type="dxa"/>
          </w:tcPr>
          <w:p w14:paraId="1AEC8C4E" w14:textId="77777777" w:rsidR="0096189A" w:rsidRPr="008B0115" w:rsidRDefault="0096189A" w:rsidP="001870D6">
            <w:pPr>
              <w:jc w:val="right"/>
              <w:rPr>
                <w:rFonts w:ascii="Times New Roman" w:hAnsi="Times New Roman"/>
              </w:rPr>
            </w:pPr>
            <w:r w:rsidRPr="008B0115">
              <w:rPr>
                <w:rFonts w:ascii="Times New Roman" w:hAnsi="Times New Roman"/>
              </w:rPr>
              <w:t>0</w:t>
            </w:r>
          </w:p>
        </w:tc>
      </w:tr>
    </w:tbl>
    <w:p w14:paraId="1475FD1B" w14:textId="77777777" w:rsidR="00E5478D" w:rsidRPr="006F4E97" w:rsidRDefault="00E5478D" w:rsidP="005D74B7">
      <w:pPr>
        <w:pStyle w:val="Default"/>
        <w:jc w:val="both"/>
        <w:rPr>
          <w:rFonts w:ascii="Times New Roman" w:hAnsi="Times New Roman" w:cs="Times New Roman"/>
        </w:rPr>
      </w:pPr>
    </w:p>
    <w:p w14:paraId="0083179F" w14:textId="2809C85F" w:rsidR="003B2E36" w:rsidRPr="003B2E36" w:rsidRDefault="003B2E36" w:rsidP="00EA01B5">
      <w:pPr>
        <w:pStyle w:val="Default"/>
        <w:jc w:val="both"/>
        <w:rPr>
          <w:rFonts w:ascii="Times New Roman" w:hAnsi="Times New Roman" w:cs="Times New Roman"/>
          <w:color w:val="auto"/>
          <w:sz w:val="22"/>
          <w:szCs w:val="22"/>
        </w:rPr>
        <w:sectPr w:rsidR="003B2E36" w:rsidRPr="003B2E36" w:rsidSect="003D1492">
          <w:pgSz w:w="11906" w:h="16838"/>
          <w:pgMar w:top="1418" w:right="1418" w:bottom="1418" w:left="1418" w:header="708" w:footer="708" w:gutter="0"/>
          <w:cols w:space="708"/>
          <w:docGrid w:linePitch="360"/>
        </w:sectPr>
      </w:pPr>
      <w:r w:rsidRPr="003B2E36">
        <w:rPr>
          <w:rFonts w:ascii="Times New Roman" w:hAnsi="Times New Roman" w:cs="Times New Roman"/>
          <w:color w:val="auto"/>
          <w:sz w:val="22"/>
          <w:szCs w:val="22"/>
        </w:rPr>
        <w:t xml:space="preserve">Najznačajniji rashodi u </w:t>
      </w:r>
      <w:r>
        <w:rPr>
          <w:rFonts w:ascii="Times New Roman" w:hAnsi="Times New Roman" w:cs="Times New Roman"/>
          <w:color w:val="auto"/>
          <w:sz w:val="22"/>
          <w:szCs w:val="22"/>
        </w:rPr>
        <w:t>n</w:t>
      </w:r>
      <w:r w:rsidRPr="003B2E36">
        <w:rPr>
          <w:rFonts w:ascii="Times New Roman" w:hAnsi="Times New Roman" w:cs="Times New Roman"/>
          <w:color w:val="auto"/>
          <w:sz w:val="22"/>
          <w:szCs w:val="22"/>
        </w:rPr>
        <w:t xml:space="preserve">avedenom programu odnose se na </w:t>
      </w:r>
      <w:r>
        <w:rPr>
          <w:rFonts w:ascii="Times New Roman" w:hAnsi="Times New Roman" w:cs="Times New Roman"/>
          <w:color w:val="auto"/>
          <w:sz w:val="22"/>
          <w:szCs w:val="22"/>
        </w:rPr>
        <w:t xml:space="preserve"> sufinanciranje nabave vatrogasnog vozila za potrebe  poslovanja Dobrovoljnog vatrogasnog društva Oprtalj te  izrada geodetskog elaborata i </w:t>
      </w:r>
      <w:r w:rsidRPr="003B2E36">
        <w:rPr>
          <w:rFonts w:ascii="Times New Roman" w:hAnsi="Times New Roman" w:cs="Times New Roman"/>
          <w:color w:val="auto"/>
          <w:sz w:val="22"/>
          <w:szCs w:val="22"/>
        </w:rPr>
        <w:t>izrada procjene klima</w:t>
      </w:r>
      <w:r>
        <w:rPr>
          <w:rFonts w:ascii="Times New Roman" w:hAnsi="Times New Roman" w:cs="Times New Roman"/>
          <w:color w:val="auto"/>
          <w:sz w:val="22"/>
          <w:szCs w:val="22"/>
        </w:rPr>
        <w:t>tskog potvrđivanja za zahvat za rekonstrukciju i dogradnju</w:t>
      </w:r>
      <w:r w:rsidRPr="003B2E36">
        <w:rPr>
          <w:rFonts w:ascii="Times New Roman" w:hAnsi="Times New Roman" w:cs="Times New Roman"/>
          <w:color w:val="auto"/>
          <w:sz w:val="22"/>
          <w:szCs w:val="22"/>
        </w:rPr>
        <w:t xml:space="preserve"> vatroga</w:t>
      </w:r>
      <w:r>
        <w:rPr>
          <w:rFonts w:ascii="Times New Roman" w:hAnsi="Times New Roman" w:cs="Times New Roman"/>
          <w:color w:val="auto"/>
          <w:sz w:val="22"/>
          <w:szCs w:val="22"/>
        </w:rPr>
        <w:t>snog doma u naselju sv. Lucija.</w:t>
      </w:r>
    </w:p>
    <w:p w14:paraId="60211A15" w14:textId="1A02B4BE" w:rsidR="00EA01B5" w:rsidRDefault="00EA01B5" w:rsidP="00EA01B5">
      <w:pPr>
        <w:pStyle w:val="Default"/>
        <w:jc w:val="both"/>
        <w:rPr>
          <w:rFonts w:ascii="Times New Roman" w:hAnsi="Times New Roman"/>
          <w:bCs/>
          <w:i/>
          <w:sz w:val="22"/>
          <w:szCs w:val="22"/>
        </w:rPr>
      </w:pPr>
      <w:r w:rsidRPr="001248DC">
        <w:rPr>
          <w:rFonts w:ascii="Times New Roman" w:hAnsi="Times New Roman" w:cs="Times New Roman"/>
          <w:b/>
          <w:color w:val="auto"/>
          <w:sz w:val="22"/>
          <w:szCs w:val="22"/>
        </w:rPr>
        <w:lastRenderedPageBreak/>
        <w:t xml:space="preserve">Grafički prikaz broj </w:t>
      </w:r>
      <w:r w:rsidR="00EA2D87">
        <w:rPr>
          <w:rFonts w:ascii="Times New Roman" w:hAnsi="Times New Roman" w:cs="Times New Roman"/>
          <w:b/>
          <w:color w:val="auto"/>
          <w:sz w:val="22"/>
          <w:szCs w:val="22"/>
        </w:rPr>
        <w:t>8</w:t>
      </w:r>
      <w:r w:rsidRPr="001248DC">
        <w:rPr>
          <w:rFonts w:ascii="Times New Roman" w:hAnsi="Times New Roman" w:cs="Times New Roman"/>
          <w:b/>
          <w:color w:val="auto"/>
          <w:sz w:val="22"/>
          <w:szCs w:val="22"/>
        </w:rPr>
        <w:t xml:space="preserve">. : </w:t>
      </w:r>
      <w:r w:rsidRPr="00783746">
        <w:rPr>
          <w:rFonts w:ascii="Times New Roman" w:hAnsi="Times New Roman"/>
          <w:iCs/>
          <w:sz w:val="22"/>
          <w:szCs w:val="22"/>
        </w:rPr>
        <w:t>U</w:t>
      </w:r>
      <w:r w:rsidRPr="00783746">
        <w:rPr>
          <w:rFonts w:ascii="Times New Roman" w:hAnsi="Times New Roman"/>
          <w:bCs/>
          <w:iCs/>
          <w:sz w:val="22"/>
          <w:szCs w:val="22"/>
        </w:rPr>
        <w:t xml:space="preserve">sporedni prikaz realizacije Programa </w:t>
      </w:r>
      <w:r w:rsidRPr="00783746">
        <w:rPr>
          <w:rFonts w:ascii="Times New Roman" w:hAnsi="Times New Roman"/>
          <w:b/>
          <w:iCs/>
          <w:sz w:val="22"/>
          <w:szCs w:val="22"/>
        </w:rPr>
        <w:t>„</w:t>
      </w:r>
      <w:r>
        <w:rPr>
          <w:rFonts w:ascii="Times New Roman" w:hAnsi="Times New Roman"/>
          <w:b/>
          <w:iCs/>
          <w:sz w:val="22"/>
          <w:szCs w:val="22"/>
        </w:rPr>
        <w:t>Protupožarna i civilna zaštita</w:t>
      </w:r>
      <w:r w:rsidRPr="00783746">
        <w:rPr>
          <w:rFonts w:ascii="Times New Roman" w:hAnsi="Times New Roman"/>
          <w:b/>
          <w:iCs/>
          <w:sz w:val="22"/>
          <w:szCs w:val="22"/>
        </w:rPr>
        <w:t>“</w:t>
      </w:r>
      <w:r w:rsidRPr="00783746">
        <w:rPr>
          <w:rFonts w:ascii="Times New Roman" w:hAnsi="Times New Roman"/>
          <w:bCs/>
          <w:iCs/>
          <w:sz w:val="22"/>
          <w:szCs w:val="22"/>
        </w:rPr>
        <w:t xml:space="preserve"> </w:t>
      </w:r>
      <w:r w:rsidRPr="00783746">
        <w:rPr>
          <w:rFonts w:ascii="Times New Roman" w:hAnsi="Times New Roman"/>
          <w:iCs/>
          <w:sz w:val="22"/>
          <w:szCs w:val="22"/>
        </w:rPr>
        <w:t xml:space="preserve"> </w:t>
      </w:r>
      <w:r w:rsidRPr="00783746">
        <w:rPr>
          <w:rFonts w:ascii="Times New Roman" w:hAnsi="Times New Roman"/>
          <w:bCs/>
          <w:iCs/>
          <w:sz w:val="22"/>
          <w:szCs w:val="22"/>
        </w:rPr>
        <w:t xml:space="preserve">od 01. siječnja do </w:t>
      </w:r>
      <w:r w:rsidR="00314028">
        <w:rPr>
          <w:rFonts w:ascii="Times New Roman" w:hAnsi="Times New Roman"/>
          <w:bCs/>
          <w:iCs/>
          <w:sz w:val="22"/>
          <w:szCs w:val="22"/>
        </w:rPr>
        <w:t>31. prosinca</w:t>
      </w:r>
      <w:r w:rsidRPr="00783746">
        <w:rPr>
          <w:rFonts w:ascii="Times New Roman" w:hAnsi="Times New Roman"/>
          <w:bCs/>
          <w:iCs/>
          <w:sz w:val="22"/>
          <w:szCs w:val="22"/>
        </w:rPr>
        <w:t xml:space="preserve"> 202</w:t>
      </w:r>
      <w:r w:rsidR="00DB04C4">
        <w:rPr>
          <w:rFonts w:ascii="Times New Roman" w:hAnsi="Times New Roman"/>
          <w:bCs/>
          <w:iCs/>
          <w:sz w:val="22"/>
          <w:szCs w:val="22"/>
        </w:rPr>
        <w:t>5. godine u odnosu na Proračun</w:t>
      </w:r>
      <w:r w:rsidRPr="00783746">
        <w:rPr>
          <w:rFonts w:ascii="Times New Roman" w:hAnsi="Times New Roman"/>
          <w:bCs/>
          <w:iCs/>
          <w:sz w:val="22"/>
          <w:szCs w:val="22"/>
        </w:rPr>
        <w:t xml:space="preserve"> za 202</w:t>
      </w:r>
      <w:r w:rsidR="00DB04C4">
        <w:rPr>
          <w:rFonts w:ascii="Times New Roman" w:hAnsi="Times New Roman"/>
          <w:bCs/>
          <w:iCs/>
          <w:sz w:val="22"/>
          <w:szCs w:val="22"/>
        </w:rPr>
        <w:t>5</w:t>
      </w:r>
      <w:r w:rsidRPr="00783746">
        <w:rPr>
          <w:rFonts w:ascii="Times New Roman" w:hAnsi="Times New Roman"/>
          <w:bCs/>
          <w:iCs/>
          <w:sz w:val="22"/>
          <w:szCs w:val="22"/>
        </w:rPr>
        <w:t>. godinu</w:t>
      </w:r>
      <w:r w:rsidRPr="009D61E7">
        <w:rPr>
          <w:rFonts w:ascii="Times New Roman" w:hAnsi="Times New Roman"/>
          <w:bCs/>
          <w:i/>
          <w:sz w:val="22"/>
          <w:szCs w:val="22"/>
        </w:rPr>
        <w:t xml:space="preserve">    </w:t>
      </w:r>
    </w:p>
    <w:p w14:paraId="70F27284" w14:textId="77777777" w:rsidR="00E5478D" w:rsidRPr="001248DC" w:rsidRDefault="00E5478D" w:rsidP="00EA01B5">
      <w:pPr>
        <w:pStyle w:val="Default"/>
        <w:jc w:val="both"/>
        <w:rPr>
          <w:rFonts w:ascii="Times New Roman" w:hAnsi="Times New Roman" w:cs="Times New Roman"/>
          <w:i/>
          <w:color w:val="auto"/>
          <w:sz w:val="22"/>
          <w:szCs w:val="22"/>
        </w:rPr>
      </w:pPr>
    </w:p>
    <w:p w14:paraId="20201875" w14:textId="57306F81" w:rsidR="005D74B7" w:rsidRPr="000F5468" w:rsidRDefault="00E06EE5" w:rsidP="005D74B7">
      <w:pPr>
        <w:pStyle w:val="Default"/>
        <w:jc w:val="both"/>
        <w:rPr>
          <w:rFonts w:ascii="Times New Roman" w:hAnsi="Times New Roman" w:cs="Times New Roman"/>
          <w:i/>
          <w:color w:val="76923C" w:themeColor="accent3" w:themeShade="BF"/>
        </w:rPr>
      </w:pPr>
      <w:r>
        <w:rPr>
          <w:noProof/>
          <w:lang w:eastAsia="hr-HR"/>
        </w:rPr>
        <w:drawing>
          <wp:inline distT="0" distB="0" distL="0" distR="0" wp14:anchorId="78328871" wp14:editId="33FC6460">
            <wp:extent cx="8891270" cy="5078095"/>
            <wp:effectExtent l="0" t="0" r="5080" b="8255"/>
            <wp:docPr id="12" name="Chart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DE2FB8-8E9B-4058-8D79-29B86D64F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570691" w14:textId="77777777" w:rsidR="00E5478D" w:rsidRDefault="00E5478D" w:rsidP="005D74B7">
      <w:pPr>
        <w:pStyle w:val="BodyTextIndent2"/>
        <w:spacing w:after="0" w:line="240" w:lineRule="auto"/>
        <w:ind w:left="0" w:right="-2"/>
        <w:jc w:val="both"/>
        <w:sectPr w:rsidR="00E5478D" w:rsidSect="00E5478D">
          <w:pgSz w:w="16838" w:h="11906" w:orient="landscape"/>
          <w:pgMar w:top="1418" w:right="1418" w:bottom="1418" w:left="1418" w:header="709" w:footer="709" w:gutter="0"/>
          <w:cols w:space="708"/>
          <w:docGrid w:linePitch="360"/>
        </w:sectPr>
      </w:pPr>
    </w:p>
    <w:p w14:paraId="24205242" w14:textId="073CBEA0" w:rsidR="00901F7C" w:rsidRPr="007A1751" w:rsidRDefault="00901F7C" w:rsidP="00901F7C">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lastRenderedPageBreak/>
        <w:t>Program 1008</w:t>
      </w:r>
      <w:r w:rsidRPr="007A1751">
        <w:rPr>
          <w:rFonts w:ascii="Times New Roman" w:hAnsi="Times New Roman" w:cs="Times New Roman"/>
          <w:b/>
          <w:color w:val="auto"/>
          <w:w w:val="115"/>
        </w:rPr>
        <w:t xml:space="preserve">: </w:t>
      </w:r>
      <w:r>
        <w:rPr>
          <w:rFonts w:ascii="Times New Roman" w:hAnsi="Times New Roman" w:cs="Times New Roman"/>
          <w:b/>
          <w:color w:val="auto"/>
          <w:w w:val="115"/>
        </w:rPr>
        <w:t>ODRŽAVANJE OBJEKATA I UREĐAJA KOMUNALNE INFRASTRUKTURE</w:t>
      </w:r>
    </w:p>
    <w:p w14:paraId="0F7C06DF" w14:textId="77777777" w:rsidR="00901F7C" w:rsidRDefault="00901F7C" w:rsidP="0093046B">
      <w:pPr>
        <w:spacing w:after="0" w:line="240" w:lineRule="auto"/>
        <w:jc w:val="both"/>
        <w:rPr>
          <w:rFonts w:ascii="Times New Roman" w:hAnsi="Times New Roman"/>
          <w:b/>
          <w:bCs/>
        </w:rPr>
      </w:pPr>
    </w:p>
    <w:p w14:paraId="24E86194" w14:textId="77777777" w:rsidR="003A235D" w:rsidRPr="003A235D" w:rsidRDefault="003A235D" w:rsidP="003A235D">
      <w:pPr>
        <w:spacing w:after="0" w:line="240" w:lineRule="auto"/>
        <w:jc w:val="both"/>
        <w:rPr>
          <w:rFonts w:ascii="Times New Roman" w:hAnsi="Times New Roman"/>
        </w:rPr>
      </w:pPr>
      <w:r w:rsidRPr="003A235D">
        <w:rPr>
          <w:rFonts w:ascii="Times New Roman" w:hAnsi="Times New Roman"/>
        </w:rPr>
        <w:t xml:space="preserve">U 2025. godini Program održavanja objekata i uređaja komunalne infrastrukture realiziran je u iznosu od </w:t>
      </w:r>
      <w:r w:rsidRPr="003A235D">
        <w:rPr>
          <w:rFonts w:ascii="Times New Roman" w:hAnsi="Times New Roman"/>
          <w:b/>
          <w:bCs/>
        </w:rPr>
        <w:t>284.392,03 EUR</w:t>
      </w:r>
      <w:r w:rsidRPr="003A235D">
        <w:rPr>
          <w:rFonts w:ascii="Times New Roman" w:hAnsi="Times New Roman"/>
        </w:rPr>
        <w:t xml:space="preserve">. </w:t>
      </w:r>
    </w:p>
    <w:p w14:paraId="101EA0D5" w14:textId="77777777" w:rsidR="003A235D" w:rsidRPr="003A235D" w:rsidRDefault="003A235D" w:rsidP="003A235D">
      <w:pPr>
        <w:autoSpaceDE w:val="0"/>
        <w:autoSpaceDN w:val="0"/>
        <w:adjustRightInd w:val="0"/>
        <w:spacing w:after="0" w:line="240" w:lineRule="auto"/>
        <w:jc w:val="both"/>
        <w:rPr>
          <w:rFonts w:ascii="Times New Roman" w:hAnsi="Times New Roman"/>
          <w:bCs/>
          <w:iCs/>
        </w:rPr>
      </w:pPr>
    </w:p>
    <w:p w14:paraId="020CC95A"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bCs/>
          <w:iCs/>
        </w:rPr>
        <w:t xml:space="preserve">Aktivnost </w:t>
      </w:r>
      <w:r w:rsidRPr="003A235D">
        <w:rPr>
          <w:rFonts w:ascii="Times New Roman" w:hAnsi="Times New Roman"/>
          <w:bCs/>
          <w:i/>
          <w:iCs/>
        </w:rPr>
        <w:t>Održavanje i potrošnja javne rasvjete</w:t>
      </w:r>
      <w:r w:rsidRPr="003A235D">
        <w:rPr>
          <w:rFonts w:ascii="Times New Roman" w:hAnsi="Times New Roman"/>
        </w:rPr>
        <w:t xml:space="preserve"> podrazumijeva sva sredstva za podmirenje utroška električne energije javne rasvjete, utroška električne energije za društvene prostorije (sala u Livadama, Loggia,…) te sredstva za troškove redovitog održavanja javne rasvjete (zamjena žarulja, armatura, žica, kablova, stupova i drugih intervencija prema potrebi).</w:t>
      </w:r>
    </w:p>
    <w:p w14:paraId="3F952E21"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bCs/>
          <w:iCs/>
        </w:rPr>
        <w:t xml:space="preserve">Za navedenu aktivnost </w:t>
      </w:r>
      <w:r w:rsidRPr="003A235D">
        <w:rPr>
          <w:rFonts w:ascii="Times New Roman" w:hAnsi="Times New Roman"/>
        </w:rPr>
        <w:t>u 2025. godini utrošeno je ukupno 40.984,10 EUR. Za samu potrošnju javne rasvjete utrošeno je 11.989,26 EUR. Iznos od 16.339,20 EUR utrošen je 2025. godini za energetska usluga sukladno Ugovoru o pružanju energetske usluge u uštedi električne energije u javnoj rasvjeti sklopljenog s poduzećem Jadro – lux. Preostali iznos od 7.938,05 EUR utrošen je za potrošnju električne energije u društvenim prostorijama. Na području Općine Oprtalj – Portole aktivno je otprilike 440 rasvjetnih tijela koje se održava po prijavi kvara. U 2025. godini zaprimljena je 25 prijava. Za održavanje javne rasvjete utrošeno je 2.990,75 EUR.</w:t>
      </w:r>
    </w:p>
    <w:p w14:paraId="591776D0" w14:textId="77777777" w:rsidR="003A235D" w:rsidRPr="003A235D" w:rsidRDefault="003A235D" w:rsidP="003A235D">
      <w:pPr>
        <w:autoSpaceDE w:val="0"/>
        <w:autoSpaceDN w:val="0"/>
        <w:adjustRightInd w:val="0"/>
        <w:spacing w:after="0" w:line="240" w:lineRule="auto"/>
        <w:jc w:val="both"/>
        <w:rPr>
          <w:rFonts w:ascii="Times New Roman" w:hAnsi="Times New Roman"/>
          <w:color w:val="FF0000"/>
        </w:rPr>
      </w:pPr>
    </w:p>
    <w:p w14:paraId="5652AAB2"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bCs/>
          <w:iCs/>
        </w:rPr>
        <w:t>Aktivnost</w:t>
      </w:r>
      <w:r w:rsidRPr="003A235D">
        <w:rPr>
          <w:rFonts w:ascii="Times New Roman" w:hAnsi="Times New Roman"/>
          <w:bCs/>
          <w:i/>
        </w:rPr>
        <w:t xml:space="preserve"> Održavanje i uređenje javnih zelenih površina</w:t>
      </w:r>
      <w:r w:rsidRPr="003A235D">
        <w:rPr>
          <w:rFonts w:ascii="Times New Roman" w:hAnsi="Times New Roman"/>
        </w:rPr>
        <w:t xml:space="preserve"> obuhvaća održavanje zelenila uz javne površine, košnju trave i zakorovljenih travnjaka, obrezivanje raznog grmlja i drveća, sječenje i uklanjanje grana koje smetaju prometovanju na javnim cestama, održavanje parkovnih površina, sadnja cvijeća i održavanje istoga. Program održavanja javnih površina također obuhvaća uređenje prostora za vrijeme prigodnih blagdana kao što je postavljanje božićne dekoracije i slično. </w:t>
      </w:r>
    </w:p>
    <w:p w14:paraId="3C6B5371" w14:textId="77777777" w:rsidR="003A235D" w:rsidRPr="003A235D" w:rsidRDefault="003A235D" w:rsidP="003A235D">
      <w:pPr>
        <w:autoSpaceDE w:val="0"/>
        <w:autoSpaceDN w:val="0"/>
        <w:adjustRightInd w:val="0"/>
        <w:spacing w:after="0" w:line="240" w:lineRule="auto"/>
        <w:jc w:val="both"/>
        <w:rPr>
          <w:rFonts w:ascii="Times New Roman" w:hAnsi="Times New Roman"/>
        </w:rPr>
      </w:pPr>
    </w:p>
    <w:p w14:paraId="7C6CFBA6"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rPr>
        <w:t>U 2025. godini utrošeno je ukupno 29.676,25 EUR za održavanje i uređenje javnih zelenih površina. Iznos od 2.139,04 EUR odnosi se na nabavu materijala za održavanje javnih površina (rukavice, izolir trake, drvocid, ulje, slavina, …), iznos od 4.217,33 EUR odnosi se na uređenje prostora odnosno na kupnju cvijeća, gnojiva za cvijeće i slično, uređenje kružnog toka u Livadama a preostali iznos od 17.197,55 EUR utrošen je na uređenje ostalih javnih površina i to po ugovoru o dijelu, siječa stabala, održavanje šetnica, čišćenje odrona na cesti sv. Lucija, sanacija dotrajalih šahtova i slično.</w:t>
      </w:r>
    </w:p>
    <w:p w14:paraId="7BFF1B31"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rPr>
        <w:t>Iznos od 4.596,25 EUR utrošen je za uređenje okoliša odnosno nabavke klupa, stolova i koševa u naseljima Jakusi, Pirelići, Kavi, Livade, Čepić te na odmorištu kod sv. Lucije.</w:t>
      </w:r>
    </w:p>
    <w:p w14:paraId="04C32BCD" w14:textId="77777777" w:rsidR="003A235D" w:rsidRPr="003A235D" w:rsidRDefault="003A235D" w:rsidP="003A235D">
      <w:pPr>
        <w:autoSpaceDE w:val="0"/>
        <w:autoSpaceDN w:val="0"/>
        <w:adjustRightInd w:val="0"/>
        <w:spacing w:after="0" w:line="240" w:lineRule="auto"/>
        <w:jc w:val="both"/>
        <w:rPr>
          <w:rFonts w:ascii="Times New Roman" w:hAnsi="Times New Roman"/>
          <w:color w:val="FF0000"/>
        </w:rPr>
      </w:pPr>
      <w:r w:rsidRPr="003A235D">
        <w:rPr>
          <w:rFonts w:ascii="Times New Roman" w:hAnsi="Times New Roman"/>
          <w:color w:val="FF0000"/>
        </w:rPr>
        <w:t xml:space="preserve"> </w:t>
      </w:r>
    </w:p>
    <w:p w14:paraId="57364288"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bCs/>
          <w:iCs/>
        </w:rPr>
        <w:t>Aktivnost</w:t>
      </w:r>
      <w:r w:rsidRPr="003A235D">
        <w:rPr>
          <w:rFonts w:ascii="Times New Roman" w:hAnsi="Times New Roman"/>
          <w:bCs/>
          <w:i/>
        </w:rPr>
        <w:t xml:space="preserve"> Održavanje nerazvrstanih cesta</w:t>
      </w:r>
      <w:r w:rsidRPr="003A235D">
        <w:rPr>
          <w:rFonts w:ascii="Times New Roman" w:hAnsi="Times New Roman"/>
        </w:rPr>
        <w:t xml:space="preserve"> podrazumijeva održavanje nerazvrstanih cesta, makadama i šumskih puteva. Na području Općine Oprtalj - Portole prema registru nerazvrstanih cesta ima oko 100 kilometara nerazvrstanih cesta, uličnih cesta i poljskih puteva, od čega se kosi 50 kilometara cesta, dok se nasipavanjem održavaju makadamske ceste u dužini od oko 10 kilometara.</w:t>
      </w:r>
    </w:p>
    <w:p w14:paraId="57A33D7C"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rPr>
        <w:t>Po navedenoj aktivnosti 2025. godini utrošeno je 40.306,48 EUR. Navedeni se iznos odnosi na održavanje nerazvrstanih cesta, odnosno nabavu i dovoz jalovine te popratnih radova ravnanja kolnih površina i ostalih radova, te košnja istih kao i održavanje šumskih puteva u protupožarne svrhe.</w:t>
      </w:r>
    </w:p>
    <w:p w14:paraId="7A8B5E4F" w14:textId="77777777" w:rsidR="003A235D" w:rsidRPr="003A235D" w:rsidRDefault="003A235D" w:rsidP="003A235D">
      <w:pPr>
        <w:autoSpaceDE w:val="0"/>
        <w:autoSpaceDN w:val="0"/>
        <w:adjustRightInd w:val="0"/>
        <w:spacing w:after="0" w:line="240" w:lineRule="auto"/>
        <w:jc w:val="both"/>
        <w:rPr>
          <w:rFonts w:ascii="Times New Roman" w:hAnsi="Times New Roman"/>
          <w:b/>
          <w:i/>
          <w:color w:val="FF0000"/>
        </w:rPr>
      </w:pPr>
    </w:p>
    <w:p w14:paraId="4FADF422"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bCs/>
          <w:iCs/>
        </w:rPr>
        <w:t>Aktivnost</w:t>
      </w:r>
      <w:r w:rsidRPr="003A235D">
        <w:rPr>
          <w:rFonts w:ascii="Times New Roman" w:hAnsi="Times New Roman"/>
          <w:bCs/>
          <w:i/>
        </w:rPr>
        <w:t xml:space="preserve"> Održavanje i uređenje groblja</w:t>
      </w:r>
      <w:r w:rsidRPr="003A235D">
        <w:rPr>
          <w:rFonts w:ascii="Times New Roman" w:hAnsi="Times New Roman"/>
        </w:rPr>
        <w:t xml:space="preserve"> podrazumijeva uklanjanje i deponiranje otpada, nužne popravke grobnih objekata, staza, te druge infrastrukture i opreme, uređenje okoliša, održavanje zelenila – košnju travnjaka i drugih zelenih površina, održavanje grmova i raznog raslinja, okopavanje oko grmova i stabala, plaćanje komunalnih usluga (voda). Na području Općine Oprtalj – Portole aktivna su tri groblja, groblje Oprtalj, Zrenj i Čepić. Groblje Oprtalj se nalazi na k.č.br. 6411/2, 6411/1 i 6412/1 sve k.o. Oprtalj, ukupne površine 7.383 m² s ukupno 677 grobnih mjesta. Groblje Zrenj se nalazi na k.č.br. 109/2 k.o. Zrenj, ukupne površine 1.260 m² s ukupno 146 grobnih mjesta. Groblje Čepić se nalazi na k.č.br. 23 zgr. k.o. Čepić, ukupne površine 770 m² s ukupno 57 grobnih mjesta.</w:t>
      </w:r>
    </w:p>
    <w:p w14:paraId="5F7BAADF" w14:textId="77777777" w:rsidR="003A235D" w:rsidRPr="003A235D" w:rsidRDefault="003A235D" w:rsidP="003A235D">
      <w:pPr>
        <w:autoSpaceDE w:val="0"/>
        <w:autoSpaceDN w:val="0"/>
        <w:adjustRightInd w:val="0"/>
        <w:spacing w:after="0" w:line="240" w:lineRule="auto"/>
        <w:jc w:val="both"/>
        <w:rPr>
          <w:rFonts w:ascii="Times New Roman" w:hAnsi="Times New Roman"/>
        </w:rPr>
      </w:pPr>
      <w:r w:rsidRPr="003A235D">
        <w:rPr>
          <w:rFonts w:ascii="Times New Roman" w:hAnsi="Times New Roman"/>
        </w:rPr>
        <w:t>Po navedenoj aktivnosti u 2025. godini utrošeno je 25.681,65 EUR. Značajniji iznos utrošen je na uređenju staza na grobljima u naselju Čepić i Zrenju.</w:t>
      </w:r>
    </w:p>
    <w:p w14:paraId="265703C8" w14:textId="77777777" w:rsidR="003A235D" w:rsidRPr="003A235D" w:rsidRDefault="003A235D" w:rsidP="003A235D">
      <w:pPr>
        <w:autoSpaceDE w:val="0"/>
        <w:autoSpaceDN w:val="0"/>
        <w:adjustRightInd w:val="0"/>
        <w:spacing w:after="0" w:line="240" w:lineRule="auto"/>
        <w:jc w:val="both"/>
        <w:rPr>
          <w:rFonts w:ascii="Times New Roman" w:hAnsi="Times New Roman"/>
        </w:rPr>
      </w:pPr>
    </w:p>
    <w:p w14:paraId="7338D02B" w14:textId="77777777" w:rsidR="003A235D" w:rsidRPr="003A235D" w:rsidRDefault="003A235D" w:rsidP="003A235D">
      <w:pPr>
        <w:pStyle w:val="NoSpacing"/>
        <w:jc w:val="both"/>
        <w:rPr>
          <w:rFonts w:ascii="Times New Roman" w:hAnsi="Times New Roman" w:cs="Times New Roman"/>
        </w:rPr>
      </w:pPr>
      <w:r w:rsidRPr="003A235D">
        <w:rPr>
          <w:rFonts w:ascii="Times New Roman" w:hAnsi="Times New Roman" w:cs="Times New Roman"/>
        </w:rPr>
        <w:t xml:space="preserve">Na aktivnost </w:t>
      </w:r>
      <w:r w:rsidRPr="003A235D">
        <w:rPr>
          <w:rFonts w:ascii="Times New Roman" w:hAnsi="Times New Roman" w:cs="Times New Roman"/>
          <w:i/>
          <w:iCs/>
        </w:rPr>
        <w:t>Dezinfekcija, dezinsekcija i deratizacija</w:t>
      </w:r>
      <w:r w:rsidRPr="003A235D">
        <w:rPr>
          <w:rFonts w:ascii="Times New Roman" w:hAnsi="Times New Roman" w:cs="Times New Roman"/>
        </w:rPr>
        <w:t xml:space="preserve"> utrošeno je 11.012,50 EUR i to za provođenje mjera deratizacije i dezinsekcije na području Općine u cilju sprečavanja zaraznih bolesti.</w:t>
      </w:r>
    </w:p>
    <w:p w14:paraId="6596EA85" w14:textId="77777777" w:rsidR="003A235D" w:rsidRPr="003A235D" w:rsidRDefault="003A235D" w:rsidP="003A235D">
      <w:pPr>
        <w:pStyle w:val="NoSpacing"/>
        <w:jc w:val="both"/>
        <w:rPr>
          <w:rFonts w:ascii="Times New Roman" w:hAnsi="Times New Roman" w:cs="Times New Roman"/>
        </w:rPr>
      </w:pPr>
      <w:r w:rsidRPr="003A235D">
        <w:rPr>
          <w:rFonts w:ascii="Times New Roman" w:hAnsi="Times New Roman" w:cs="Times New Roman"/>
        </w:rPr>
        <w:lastRenderedPageBreak/>
        <w:t xml:space="preserve">Za aktivnost </w:t>
      </w:r>
      <w:r w:rsidRPr="003A235D">
        <w:rPr>
          <w:rFonts w:ascii="Times New Roman" w:hAnsi="Times New Roman" w:cs="Times New Roman"/>
          <w:i/>
          <w:iCs/>
        </w:rPr>
        <w:t>Financiranje rada skloništa za životinje</w:t>
      </w:r>
      <w:r w:rsidRPr="003A235D">
        <w:rPr>
          <w:rFonts w:ascii="Times New Roman" w:hAnsi="Times New Roman" w:cs="Times New Roman"/>
        </w:rPr>
        <w:t xml:space="preserve"> utrošena su sredstva u iznosu od 998,40 EUR sukladno Zakonu o zaštiti životinja, za zbrinjavanje i boravak napuštenih životinja do udomljavanja.</w:t>
      </w:r>
    </w:p>
    <w:p w14:paraId="69AFD58B" w14:textId="77777777" w:rsidR="003A235D" w:rsidRPr="003A235D" w:rsidRDefault="003A235D" w:rsidP="003A235D">
      <w:pPr>
        <w:pStyle w:val="NoSpacing"/>
        <w:jc w:val="both"/>
        <w:rPr>
          <w:rFonts w:ascii="Times New Roman" w:hAnsi="Times New Roman" w:cs="Times New Roman"/>
          <w:color w:val="FF0000"/>
        </w:rPr>
      </w:pPr>
    </w:p>
    <w:p w14:paraId="19A01E8C" w14:textId="77777777" w:rsidR="003A235D" w:rsidRPr="003A235D" w:rsidRDefault="003A235D" w:rsidP="003A235D">
      <w:pPr>
        <w:pStyle w:val="NoSpacing"/>
        <w:jc w:val="both"/>
        <w:rPr>
          <w:rFonts w:ascii="Times New Roman" w:hAnsi="Times New Roman" w:cs="Times New Roman"/>
        </w:rPr>
      </w:pPr>
      <w:r w:rsidRPr="003A235D">
        <w:rPr>
          <w:rFonts w:ascii="Times New Roman" w:hAnsi="Times New Roman" w:cs="Times New Roman"/>
        </w:rPr>
        <w:t xml:space="preserve">Aktivnost </w:t>
      </w:r>
      <w:r w:rsidRPr="003A235D">
        <w:rPr>
          <w:rFonts w:ascii="Times New Roman" w:hAnsi="Times New Roman" w:cs="Times New Roman"/>
          <w:i/>
          <w:iCs/>
        </w:rPr>
        <w:t>Sufinanciranje rada komunalnog redara</w:t>
      </w:r>
      <w:r w:rsidRPr="003A235D">
        <w:rPr>
          <w:rFonts w:ascii="Times New Roman" w:hAnsi="Times New Roman" w:cs="Times New Roman"/>
        </w:rPr>
        <w:t xml:space="preserve"> u 2025. godini realizirana je u iznosu od 7.529,40 EUR, temeljem Sporazuma o zajedničkom obavljanju poslova komunalnog redarstva na području Općine Oprtalj - Portole, Grada Buja - Buie i Općine Grožnjan - Grisignana od 30. rujna 2021. godine.</w:t>
      </w:r>
    </w:p>
    <w:p w14:paraId="2EC0ADAA" w14:textId="77777777" w:rsidR="003A235D" w:rsidRPr="003A235D" w:rsidRDefault="003A235D" w:rsidP="003A235D">
      <w:pPr>
        <w:pStyle w:val="NoSpacing"/>
        <w:jc w:val="both"/>
        <w:rPr>
          <w:rFonts w:ascii="Times New Roman" w:hAnsi="Times New Roman" w:cs="Times New Roman"/>
          <w:color w:val="FF0000"/>
        </w:rPr>
      </w:pPr>
    </w:p>
    <w:p w14:paraId="30D30D34" w14:textId="77777777" w:rsidR="003A235D" w:rsidRPr="003A235D" w:rsidRDefault="003A235D" w:rsidP="003A235D">
      <w:pPr>
        <w:pStyle w:val="NoSpacing"/>
        <w:jc w:val="both"/>
        <w:rPr>
          <w:rFonts w:ascii="Times New Roman" w:hAnsi="Times New Roman" w:cs="Times New Roman"/>
        </w:rPr>
      </w:pPr>
      <w:r w:rsidRPr="003A235D">
        <w:rPr>
          <w:rFonts w:ascii="Times New Roman" w:hAnsi="Times New Roman" w:cs="Times New Roman"/>
        </w:rPr>
        <w:t xml:space="preserve">Na aktivnost </w:t>
      </w:r>
      <w:r w:rsidRPr="003A235D">
        <w:rPr>
          <w:rFonts w:ascii="Times New Roman" w:hAnsi="Times New Roman" w:cs="Times New Roman"/>
          <w:i/>
          <w:iCs/>
        </w:rPr>
        <w:t>Veterinarsko – higijeničarski poslovi</w:t>
      </w:r>
      <w:r w:rsidRPr="003A235D">
        <w:rPr>
          <w:rFonts w:ascii="Times New Roman" w:hAnsi="Times New Roman" w:cs="Times New Roman"/>
          <w:b/>
          <w:bCs/>
          <w:i/>
          <w:iCs/>
        </w:rPr>
        <w:t xml:space="preserve"> </w:t>
      </w:r>
      <w:r w:rsidRPr="003A235D">
        <w:rPr>
          <w:rFonts w:ascii="Times New Roman" w:hAnsi="Times New Roman" w:cs="Times New Roman"/>
        </w:rPr>
        <w:t>utrošeno je</w:t>
      </w:r>
      <w:r w:rsidRPr="003A235D">
        <w:rPr>
          <w:rFonts w:ascii="Times New Roman" w:hAnsi="Times New Roman" w:cs="Times New Roman"/>
          <w:b/>
          <w:bCs/>
          <w:i/>
          <w:iCs/>
        </w:rPr>
        <w:t xml:space="preserve"> </w:t>
      </w:r>
      <w:r w:rsidRPr="003A235D">
        <w:rPr>
          <w:rFonts w:ascii="Times New Roman" w:hAnsi="Times New Roman" w:cs="Times New Roman"/>
        </w:rPr>
        <w:t>1.621,38 EUR sukladno Zakonu o zaštiti životinja, za liječenje napuštenih pasa i mačaka pronađenih na području Općine.</w:t>
      </w:r>
    </w:p>
    <w:p w14:paraId="2BAE5171" w14:textId="77777777" w:rsidR="003A235D" w:rsidRPr="003A235D" w:rsidRDefault="003A235D" w:rsidP="003A235D">
      <w:pPr>
        <w:pStyle w:val="NoSpacing"/>
        <w:jc w:val="both"/>
        <w:rPr>
          <w:rFonts w:ascii="Times New Roman" w:hAnsi="Times New Roman" w:cs="Times New Roman"/>
          <w:color w:val="FF0000"/>
        </w:rPr>
      </w:pPr>
    </w:p>
    <w:p w14:paraId="597735D0" w14:textId="77777777" w:rsidR="003A235D" w:rsidRPr="003A235D" w:rsidRDefault="003A235D" w:rsidP="003A235D">
      <w:pPr>
        <w:pStyle w:val="NoSpacing"/>
        <w:jc w:val="both"/>
        <w:rPr>
          <w:rFonts w:ascii="Times New Roman" w:hAnsi="Times New Roman" w:cs="Times New Roman"/>
        </w:rPr>
      </w:pPr>
      <w:r w:rsidRPr="003A235D">
        <w:rPr>
          <w:rFonts w:ascii="Times New Roman" w:hAnsi="Times New Roman" w:cs="Times New Roman"/>
        </w:rPr>
        <w:t xml:space="preserve">U 2025. godini realizirana su sredstva u iznosu od 8.258,50 EUR za aktivnost </w:t>
      </w:r>
      <w:r w:rsidRPr="003A235D">
        <w:rPr>
          <w:rFonts w:ascii="Times New Roman" w:hAnsi="Times New Roman" w:cs="Times New Roman"/>
          <w:i/>
          <w:iCs/>
        </w:rPr>
        <w:t>Nabava strojeva za uređenje javnih površina.</w:t>
      </w:r>
      <w:r w:rsidRPr="003A235D">
        <w:rPr>
          <w:rFonts w:ascii="Times New Roman" w:hAnsi="Times New Roman" w:cs="Times New Roman"/>
        </w:rPr>
        <w:t xml:space="preserve"> Kroz ovu aktivnost nabavljene su baterijske škare te robotske kosilice za održavanje javnih površina od strane namještenika Jedinstvenog upravnog odjela Općine Oprtalj – Portole na području Općine.</w:t>
      </w:r>
    </w:p>
    <w:p w14:paraId="4D585DA1" w14:textId="77777777" w:rsidR="003A235D" w:rsidRPr="003A235D" w:rsidRDefault="003A235D" w:rsidP="003A235D">
      <w:pPr>
        <w:pStyle w:val="NoSpacing"/>
        <w:jc w:val="both"/>
        <w:rPr>
          <w:rFonts w:ascii="Times New Roman" w:hAnsi="Times New Roman" w:cs="Times New Roman"/>
          <w:color w:val="FF0000"/>
        </w:rPr>
      </w:pPr>
    </w:p>
    <w:p w14:paraId="520CC6FF" w14:textId="77777777" w:rsidR="003A235D" w:rsidRPr="003A235D" w:rsidRDefault="003A235D" w:rsidP="003A235D">
      <w:pPr>
        <w:spacing w:after="0" w:line="240" w:lineRule="auto"/>
        <w:jc w:val="both"/>
        <w:rPr>
          <w:rFonts w:ascii="Times New Roman" w:hAnsi="Times New Roman"/>
        </w:rPr>
      </w:pPr>
      <w:r w:rsidRPr="003A235D">
        <w:rPr>
          <w:rFonts w:ascii="Times New Roman" w:hAnsi="Times New Roman"/>
        </w:rPr>
        <w:t xml:space="preserve">Na aktivnost </w:t>
      </w:r>
      <w:r w:rsidRPr="003A235D">
        <w:rPr>
          <w:rFonts w:ascii="Times New Roman" w:hAnsi="Times New Roman"/>
          <w:i/>
          <w:iCs/>
        </w:rPr>
        <w:t>Postavljanje i održavanje horizontalne i vertikalne signalizacije</w:t>
      </w:r>
      <w:r w:rsidRPr="003A235D">
        <w:rPr>
          <w:rFonts w:ascii="Times New Roman" w:hAnsi="Times New Roman"/>
        </w:rPr>
        <w:t xml:space="preserve"> utrošeno je 11.910,32 EUR  za izradu novih putokaza, izradu elaborata i postavljanje opreme za smirenje prometa u naseljima Pišmanjak i Gradinje. Značajniji iznos utrošen je na postavljanje signalizacije u naseljima Golubići, Respili, Bencani, Krajići, Cekini i Čabrnica.</w:t>
      </w:r>
    </w:p>
    <w:p w14:paraId="4F3B18DA" w14:textId="0B6E68BC" w:rsidR="003A235D" w:rsidRPr="003A235D" w:rsidRDefault="003A235D" w:rsidP="003A235D">
      <w:pPr>
        <w:spacing w:after="0" w:line="240" w:lineRule="auto"/>
        <w:jc w:val="both"/>
        <w:rPr>
          <w:rFonts w:ascii="Times New Roman" w:hAnsi="Times New Roman"/>
          <w:bCs/>
          <w:i/>
          <w:iCs/>
        </w:rPr>
      </w:pPr>
      <w:r w:rsidRPr="003A235D">
        <w:rPr>
          <w:rFonts w:ascii="Times New Roman" w:hAnsi="Times New Roman"/>
        </w:rPr>
        <w:t xml:space="preserve">U 2025. godini utrošena su sredstva u iznosu od 99.890,63 EUR </w:t>
      </w:r>
      <w:r w:rsidRPr="003A235D">
        <w:rPr>
          <w:rFonts w:ascii="Times New Roman" w:hAnsi="Times New Roman"/>
          <w:bCs/>
          <w:i/>
          <w:iCs/>
        </w:rPr>
        <w:t xml:space="preserve">za Sanaciju nerazvrstanih cesta. </w:t>
      </w:r>
      <w:r w:rsidRPr="003A235D">
        <w:rPr>
          <w:rFonts w:ascii="Times New Roman" w:hAnsi="Times New Roman"/>
          <w:bCs/>
        </w:rPr>
        <w:t xml:space="preserve">Navedeni se iznos odnosi na popravak oštećenih kolnika nerazvrstanih cesta na području Općine Oprtalj – Portole i to </w:t>
      </w:r>
      <w:r w:rsidR="001C4D1C">
        <w:rPr>
          <w:rFonts w:ascii="Times New Roman" w:hAnsi="Times New Roman"/>
          <w:bCs/>
        </w:rPr>
        <w:t>u naseljima Zrenj,</w:t>
      </w:r>
      <w:r w:rsidRPr="003A235D">
        <w:rPr>
          <w:rFonts w:ascii="Times New Roman" w:hAnsi="Times New Roman"/>
          <w:bCs/>
        </w:rPr>
        <w:t xml:space="preserve"> Čabrnica, Žnjidarići, Prišći i Gradinje.</w:t>
      </w:r>
    </w:p>
    <w:p w14:paraId="37FAAD5B" w14:textId="77777777" w:rsidR="00FF6513" w:rsidRPr="003A235D" w:rsidRDefault="00FF6513" w:rsidP="0079338B">
      <w:pPr>
        <w:pStyle w:val="Default"/>
        <w:jc w:val="both"/>
        <w:rPr>
          <w:rFonts w:ascii="Times New Roman" w:hAnsi="Times New Roman" w:cs="Times New Roman"/>
          <w:b/>
          <w:color w:val="auto"/>
          <w:sz w:val="22"/>
          <w:szCs w:val="22"/>
        </w:rPr>
      </w:pPr>
    </w:p>
    <w:p w14:paraId="26D95C1E" w14:textId="77777777" w:rsidR="0079338B" w:rsidRPr="003A235D" w:rsidRDefault="0079338B" w:rsidP="0079338B">
      <w:pPr>
        <w:spacing w:after="0" w:line="240" w:lineRule="auto"/>
        <w:jc w:val="both"/>
        <w:rPr>
          <w:rFonts w:ascii="Times New Roman" w:eastAsia="Calibri" w:hAnsi="Times New Roman"/>
        </w:rPr>
      </w:pPr>
      <w:r w:rsidRPr="003A235D">
        <w:rPr>
          <w:rFonts w:ascii="Times New Roman" w:eastAsia="Calibri" w:hAnsi="Times New Roman"/>
          <w:b/>
        </w:rPr>
        <w:t>Cilj programa održavanja objekata i uređaja komunalne infrastrukture</w:t>
      </w:r>
      <w:r w:rsidRPr="003A235D">
        <w:rPr>
          <w:rFonts w:ascii="Times New Roman" w:eastAsia="Calibri" w:hAnsi="Times New Roman"/>
        </w:rPr>
        <w:t>:  Cilj provođenja navedenih aktivnosti u sklopu programa je održavanje postignutog standarda komunalne infrastrukture i komunalnih djelatnosti: prometnica, vertikalne i horizontalne signalizacije, javne rasvjete, povećanje kvalitete pokrivenosti urbanom opremom, izgled općine u posebnim prigodama od značaja za turizam.</w:t>
      </w:r>
    </w:p>
    <w:p w14:paraId="7BAFBF7D" w14:textId="77777777" w:rsidR="00505BFC" w:rsidRPr="00157871" w:rsidRDefault="00505BFC" w:rsidP="0079338B">
      <w:pPr>
        <w:pStyle w:val="Default"/>
        <w:jc w:val="both"/>
        <w:rPr>
          <w:rFonts w:ascii="Times New Roman" w:hAnsi="Times New Roman" w:cs="Times New Roman"/>
          <w:b/>
          <w:color w:val="auto"/>
          <w:sz w:val="22"/>
          <w:szCs w:val="22"/>
        </w:rPr>
      </w:pPr>
    </w:p>
    <w:p w14:paraId="20522163" w14:textId="77777777" w:rsidR="0079338B" w:rsidRPr="00157871" w:rsidRDefault="0079338B" w:rsidP="0079338B">
      <w:pPr>
        <w:pStyle w:val="Default"/>
        <w:jc w:val="both"/>
        <w:rPr>
          <w:rFonts w:ascii="Times New Roman" w:hAnsi="Times New Roman" w:cs="Times New Roman"/>
          <w:sz w:val="22"/>
          <w:szCs w:val="22"/>
        </w:rPr>
      </w:pPr>
      <w:r w:rsidRPr="00157871">
        <w:rPr>
          <w:rFonts w:ascii="Times New Roman" w:hAnsi="Times New Roman" w:cs="Times New Roman"/>
          <w:b/>
          <w:bCs/>
          <w:sz w:val="22"/>
          <w:szCs w:val="22"/>
        </w:rPr>
        <w:t>Pokazatelji uspješnosti:</w:t>
      </w:r>
      <w:r w:rsidRPr="00157871">
        <w:rPr>
          <w:rFonts w:ascii="Times New Roman" w:hAnsi="Times New Roman" w:cs="Times New Roman"/>
          <w:sz w:val="22"/>
          <w:szCs w:val="22"/>
        </w:rPr>
        <w:t xml:space="preserve"> </w:t>
      </w:r>
    </w:p>
    <w:p w14:paraId="09D799ED" w14:textId="77777777" w:rsidR="0079338B" w:rsidRPr="0079338B" w:rsidRDefault="0079338B" w:rsidP="0079338B">
      <w:pPr>
        <w:pStyle w:val="Default"/>
        <w:numPr>
          <w:ilvl w:val="0"/>
          <w:numId w:val="19"/>
        </w:numPr>
        <w:jc w:val="both"/>
        <w:rPr>
          <w:rFonts w:ascii="Times New Roman" w:hAnsi="Times New Roman" w:cs="Times New Roman"/>
          <w:bCs/>
          <w:color w:val="auto"/>
          <w:sz w:val="22"/>
          <w:szCs w:val="22"/>
        </w:rPr>
      </w:pPr>
      <w:r w:rsidRPr="0079338B">
        <w:rPr>
          <w:rFonts w:ascii="Times New Roman" w:hAnsi="Times New Roman" w:cs="Times New Roman"/>
          <w:sz w:val="22"/>
          <w:szCs w:val="22"/>
        </w:rPr>
        <w:t>broj živinih žarulja u odnosu na broj natrijevih ili led žarulja kod javne rasvjete</w:t>
      </w:r>
    </w:p>
    <w:p w14:paraId="2F38CD19" w14:textId="77777777" w:rsidR="0079338B" w:rsidRPr="0079338B" w:rsidRDefault="0079338B" w:rsidP="0079338B">
      <w:pPr>
        <w:pStyle w:val="Default"/>
        <w:numPr>
          <w:ilvl w:val="0"/>
          <w:numId w:val="19"/>
        </w:numPr>
        <w:jc w:val="both"/>
        <w:rPr>
          <w:rFonts w:ascii="Times New Roman" w:hAnsi="Times New Roman" w:cs="Times New Roman"/>
          <w:bCs/>
          <w:color w:val="auto"/>
          <w:sz w:val="22"/>
          <w:szCs w:val="22"/>
        </w:rPr>
      </w:pPr>
      <w:r w:rsidRPr="0079338B">
        <w:rPr>
          <w:rFonts w:ascii="Times New Roman" w:hAnsi="Times New Roman" w:cs="Times New Roman"/>
          <w:sz w:val="22"/>
          <w:szCs w:val="22"/>
        </w:rPr>
        <w:t>broj nerazvrstanih cesta s utvrđenim oštećenjem kolnika/broj potrebnih sanacija</w:t>
      </w:r>
    </w:p>
    <w:p w14:paraId="3121142C" w14:textId="77777777" w:rsidR="0079338B" w:rsidRPr="0079338B" w:rsidRDefault="0079338B" w:rsidP="0079338B">
      <w:pPr>
        <w:pStyle w:val="Default"/>
        <w:numPr>
          <w:ilvl w:val="0"/>
          <w:numId w:val="19"/>
        </w:numPr>
        <w:jc w:val="both"/>
        <w:rPr>
          <w:rFonts w:ascii="Times New Roman" w:hAnsi="Times New Roman" w:cs="Times New Roman"/>
          <w:bCs/>
          <w:color w:val="auto"/>
          <w:sz w:val="22"/>
          <w:szCs w:val="22"/>
        </w:rPr>
      </w:pPr>
      <w:r w:rsidRPr="0079338B">
        <w:rPr>
          <w:rFonts w:ascii="Times New Roman" w:hAnsi="Times New Roman" w:cs="Times New Roman"/>
          <w:sz w:val="22"/>
          <w:szCs w:val="22"/>
        </w:rPr>
        <w:t>površina uređenih i održavanih javnih površina (ha)</w:t>
      </w:r>
    </w:p>
    <w:p w14:paraId="5D0F9886" w14:textId="77777777" w:rsidR="0079338B" w:rsidRPr="0079338B" w:rsidRDefault="0079338B" w:rsidP="0079338B">
      <w:pPr>
        <w:pStyle w:val="Default"/>
        <w:numPr>
          <w:ilvl w:val="0"/>
          <w:numId w:val="19"/>
        </w:numPr>
        <w:jc w:val="both"/>
        <w:rPr>
          <w:rFonts w:ascii="Times New Roman" w:hAnsi="Times New Roman" w:cs="Times New Roman"/>
          <w:bCs/>
          <w:color w:val="auto"/>
          <w:sz w:val="22"/>
          <w:szCs w:val="22"/>
        </w:rPr>
      </w:pPr>
      <w:r w:rsidRPr="0079338B">
        <w:rPr>
          <w:rFonts w:ascii="Times New Roman" w:hAnsi="Times New Roman" w:cs="Times New Roman"/>
          <w:sz w:val="22"/>
          <w:szCs w:val="22"/>
        </w:rPr>
        <w:t>broj uređenih objekata na grobljima</w:t>
      </w:r>
    </w:p>
    <w:p w14:paraId="5A485B4B" w14:textId="77777777" w:rsidR="0079338B" w:rsidRDefault="0079338B" w:rsidP="00505BFC">
      <w:pPr>
        <w:autoSpaceDE w:val="0"/>
        <w:autoSpaceDN w:val="0"/>
        <w:adjustRightInd w:val="0"/>
        <w:spacing w:after="0" w:line="240" w:lineRule="auto"/>
        <w:jc w:val="both"/>
        <w:rPr>
          <w:rFonts w:ascii="Times New Roman" w:hAnsi="Times New Roman"/>
        </w:rPr>
      </w:pPr>
    </w:p>
    <w:tbl>
      <w:tblPr>
        <w:tblStyle w:val="TableGrid"/>
        <w:tblW w:w="9060" w:type="dxa"/>
        <w:tblLook w:val="04A0" w:firstRow="1" w:lastRow="0" w:firstColumn="1" w:lastColumn="0" w:noHBand="0" w:noVBand="1"/>
      </w:tblPr>
      <w:tblGrid>
        <w:gridCol w:w="3259"/>
        <w:gridCol w:w="3257"/>
        <w:gridCol w:w="1093"/>
        <w:gridCol w:w="1451"/>
      </w:tblGrid>
      <w:tr w:rsidR="002D2682" w:rsidRPr="008B0115" w14:paraId="7477F523" w14:textId="77777777" w:rsidTr="001870D6">
        <w:trPr>
          <w:trHeight w:val="357"/>
        </w:trPr>
        <w:tc>
          <w:tcPr>
            <w:tcW w:w="3259" w:type="dxa"/>
            <w:shd w:val="clear" w:color="auto" w:fill="F2F2F2" w:themeFill="background1" w:themeFillShade="F2"/>
          </w:tcPr>
          <w:p w14:paraId="141867D9" w14:textId="77777777" w:rsidR="000D3F32" w:rsidRPr="008B0115" w:rsidRDefault="000D3F32" w:rsidP="001870D6">
            <w:pPr>
              <w:jc w:val="center"/>
              <w:rPr>
                <w:rFonts w:ascii="Times New Roman" w:hAnsi="Times New Roman"/>
                <w:b/>
                <w:bCs/>
              </w:rPr>
            </w:pPr>
            <w:bookmarkStart w:id="1" w:name="_Hlk172279047"/>
            <w:r w:rsidRPr="008B0115">
              <w:rPr>
                <w:rFonts w:ascii="Times New Roman" w:hAnsi="Times New Roman"/>
                <w:b/>
                <w:bCs/>
              </w:rPr>
              <w:t>NAZIV AKTIVNOSTI</w:t>
            </w:r>
          </w:p>
        </w:tc>
        <w:tc>
          <w:tcPr>
            <w:tcW w:w="3257" w:type="dxa"/>
            <w:shd w:val="clear" w:color="auto" w:fill="F2F2F2" w:themeFill="background1" w:themeFillShade="F2"/>
          </w:tcPr>
          <w:p w14:paraId="07549DC4" w14:textId="77777777" w:rsidR="000D3F32" w:rsidRPr="008B0115" w:rsidRDefault="000D3F32" w:rsidP="001870D6">
            <w:pPr>
              <w:jc w:val="center"/>
              <w:rPr>
                <w:rFonts w:ascii="Times New Roman" w:hAnsi="Times New Roman"/>
                <w:b/>
                <w:bCs/>
              </w:rPr>
            </w:pPr>
            <w:r w:rsidRPr="008B0115">
              <w:rPr>
                <w:rFonts w:ascii="Times New Roman" w:hAnsi="Times New Roman"/>
                <w:b/>
                <w:bCs/>
              </w:rPr>
              <w:t>OPIS POKAZATELJA</w:t>
            </w:r>
          </w:p>
        </w:tc>
        <w:tc>
          <w:tcPr>
            <w:tcW w:w="1093" w:type="dxa"/>
            <w:shd w:val="clear" w:color="auto" w:fill="F2F2F2" w:themeFill="background1" w:themeFillShade="F2"/>
          </w:tcPr>
          <w:p w14:paraId="543528F1" w14:textId="77777777" w:rsidR="000D3F32" w:rsidRPr="008B0115" w:rsidRDefault="000D3F32" w:rsidP="001870D6">
            <w:pPr>
              <w:jc w:val="center"/>
              <w:rPr>
                <w:rFonts w:ascii="Times New Roman" w:hAnsi="Times New Roman"/>
                <w:b/>
                <w:bCs/>
              </w:rPr>
            </w:pPr>
            <w:r w:rsidRPr="008B0115">
              <w:rPr>
                <w:rFonts w:ascii="Times New Roman" w:hAnsi="Times New Roman"/>
                <w:b/>
                <w:bCs/>
              </w:rPr>
              <w:t>PLAN</w:t>
            </w:r>
          </w:p>
        </w:tc>
        <w:tc>
          <w:tcPr>
            <w:tcW w:w="1451" w:type="dxa"/>
            <w:shd w:val="clear" w:color="auto" w:fill="F2F2F2" w:themeFill="background1" w:themeFillShade="F2"/>
          </w:tcPr>
          <w:p w14:paraId="16707CFF" w14:textId="77777777" w:rsidR="000D3F32" w:rsidRPr="008B0115" w:rsidRDefault="000D3F32" w:rsidP="001870D6">
            <w:pPr>
              <w:jc w:val="center"/>
              <w:rPr>
                <w:rFonts w:ascii="Times New Roman" w:hAnsi="Times New Roman"/>
                <w:b/>
                <w:bCs/>
              </w:rPr>
            </w:pPr>
            <w:r w:rsidRPr="008B0115">
              <w:rPr>
                <w:rFonts w:ascii="Times New Roman" w:hAnsi="Times New Roman"/>
                <w:b/>
                <w:bCs/>
              </w:rPr>
              <w:t>IZVRŠENJE</w:t>
            </w:r>
          </w:p>
        </w:tc>
      </w:tr>
      <w:tr w:rsidR="002D2682" w:rsidRPr="008B0115" w14:paraId="43F90445" w14:textId="77777777" w:rsidTr="001870D6">
        <w:trPr>
          <w:trHeight w:val="357"/>
        </w:trPr>
        <w:tc>
          <w:tcPr>
            <w:tcW w:w="3259" w:type="dxa"/>
            <w:shd w:val="clear" w:color="auto" w:fill="FFFFFF" w:themeFill="background1"/>
          </w:tcPr>
          <w:p w14:paraId="390429E4" w14:textId="77777777" w:rsidR="000D3F32" w:rsidRPr="008B0115" w:rsidRDefault="000D3F32" w:rsidP="001870D6">
            <w:pPr>
              <w:rPr>
                <w:rFonts w:ascii="Times New Roman" w:hAnsi="Times New Roman"/>
              </w:rPr>
            </w:pPr>
            <w:r w:rsidRPr="008B0115">
              <w:rPr>
                <w:rFonts w:ascii="Times New Roman" w:hAnsi="Times New Roman"/>
              </w:rPr>
              <w:t>Održavanje i potrošnja javne rasvjete</w:t>
            </w:r>
          </w:p>
        </w:tc>
        <w:tc>
          <w:tcPr>
            <w:tcW w:w="3257" w:type="dxa"/>
            <w:shd w:val="clear" w:color="auto" w:fill="FFFFFF" w:themeFill="background1"/>
          </w:tcPr>
          <w:p w14:paraId="6FC7D223" w14:textId="77777777" w:rsidR="000D3F32" w:rsidRPr="008B0115" w:rsidRDefault="000D3F32" w:rsidP="001870D6">
            <w:pPr>
              <w:rPr>
                <w:rFonts w:ascii="Times New Roman" w:hAnsi="Times New Roman"/>
              </w:rPr>
            </w:pPr>
            <w:r w:rsidRPr="008B0115">
              <w:rPr>
                <w:rFonts w:ascii="Times New Roman" w:hAnsi="Times New Roman"/>
              </w:rPr>
              <w:t>Broj živinih žarulja/broj natrijevih ili led žarulja</w:t>
            </w:r>
          </w:p>
        </w:tc>
        <w:tc>
          <w:tcPr>
            <w:tcW w:w="1093" w:type="dxa"/>
            <w:shd w:val="clear" w:color="auto" w:fill="FFFFFF" w:themeFill="background1"/>
          </w:tcPr>
          <w:p w14:paraId="5FD57F66" w14:textId="719F9ADF" w:rsidR="000D3F32" w:rsidRPr="008B0115" w:rsidRDefault="008B0115" w:rsidP="001870D6">
            <w:pPr>
              <w:jc w:val="right"/>
              <w:rPr>
                <w:rFonts w:ascii="Times New Roman" w:hAnsi="Times New Roman"/>
              </w:rPr>
            </w:pPr>
            <w:r>
              <w:rPr>
                <w:rFonts w:ascii="Times New Roman" w:hAnsi="Times New Roman"/>
              </w:rPr>
              <w:t>0</w:t>
            </w:r>
            <w:r w:rsidR="000D3F32" w:rsidRPr="008B0115">
              <w:rPr>
                <w:rFonts w:ascii="Times New Roman" w:hAnsi="Times New Roman"/>
              </w:rPr>
              <w:t>/4</w:t>
            </w:r>
            <w:r w:rsidR="00125931" w:rsidRPr="008B0115">
              <w:rPr>
                <w:rFonts w:ascii="Times New Roman" w:hAnsi="Times New Roman"/>
              </w:rPr>
              <w:t>40</w:t>
            </w:r>
          </w:p>
        </w:tc>
        <w:tc>
          <w:tcPr>
            <w:tcW w:w="1451" w:type="dxa"/>
            <w:shd w:val="clear" w:color="auto" w:fill="FFFFFF" w:themeFill="background1"/>
          </w:tcPr>
          <w:p w14:paraId="1C856178" w14:textId="5EF6068E" w:rsidR="000D3F32" w:rsidRPr="008B0115" w:rsidRDefault="000D3F32" w:rsidP="001870D6">
            <w:pPr>
              <w:jc w:val="right"/>
              <w:rPr>
                <w:rFonts w:ascii="Times New Roman" w:hAnsi="Times New Roman"/>
              </w:rPr>
            </w:pPr>
            <w:r w:rsidRPr="008B0115">
              <w:rPr>
                <w:rFonts w:ascii="Times New Roman" w:hAnsi="Times New Roman"/>
              </w:rPr>
              <w:t>0/</w:t>
            </w:r>
            <w:r w:rsidR="00125931" w:rsidRPr="008B0115">
              <w:rPr>
                <w:rFonts w:ascii="Times New Roman" w:hAnsi="Times New Roman"/>
              </w:rPr>
              <w:t>44</w:t>
            </w:r>
            <w:r w:rsidR="00971954" w:rsidRPr="008B0115">
              <w:rPr>
                <w:rFonts w:ascii="Times New Roman" w:hAnsi="Times New Roman"/>
              </w:rPr>
              <w:t>4</w:t>
            </w:r>
          </w:p>
        </w:tc>
      </w:tr>
      <w:tr w:rsidR="002D2682" w:rsidRPr="008B0115" w14:paraId="776E2472" w14:textId="77777777" w:rsidTr="001870D6">
        <w:trPr>
          <w:trHeight w:val="357"/>
        </w:trPr>
        <w:tc>
          <w:tcPr>
            <w:tcW w:w="3259" w:type="dxa"/>
            <w:shd w:val="clear" w:color="auto" w:fill="FFFFFF" w:themeFill="background1"/>
          </w:tcPr>
          <w:p w14:paraId="4325B670" w14:textId="77777777" w:rsidR="000D3F32" w:rsidRPr="008B0115" w:rsidRDefault="000D3F32" w:rsidP="001870D6">
            <w:pPr>
              <w:rPr>
                <w:rFonts w:ascii="Times New Roman" w:hAnsi="Times New Roman"/>
              </w:rPr>
            </w:pPr>
            <w:r w:rsidRPr="008B0115">
              <w:rPr>
                <w:rFonts w:ascii="Times New Roman" w:hAnsi="Times New Roman"/>
              </w:rPr>
              <w:t>Održavanje nerazvrstanih cesta</w:t>
            </w:r>
          </w:p>
        </w:tc>
        <w:tc>
          <w:tcPr>
            <w:tcW w:w="3257" w:type="dxa"/>
            <w:shd w:val="clear" w:color="auto" w:fill="FFFFFF" w:themeFill="background1"/>
          </w:tcPr>
          <w:p w14:paraId="18D4CBB2" w14:textId="77777777" w:rsidR="000D3F32" w:rsidRPr="008B0115" w:rsidRDefault="000D3F32" w:rsidP="001870D6">
            <w:pPr>
              <w:rPr>
                <w:rFonts w:ascii="Times New Roman" w:hAnsi="Times New Roman"/>
              </w:rPr>
            </w:pPr>
            <w:r w:rsidRPr="008B0115">
              <w:rPr>
                <w:rFonts w:ascii="Times New Roman" w:hAnsi="Times New Roman"/>
              </w:rPr>
              <w:t>Broj cesta s utvrđenim oštećenjem/broj sanacija</w:t>
            </w:r>
          </w:p>
        </w:tc>
        <w:tc>
          <w:tcPr>
            <w:tcW w:w="1093" w:type="dxa"/>
            <w:shd w:val="clear" w:color="auto" w:fill="FFFFFF" w:themeFill="background1"/>
          </w:tcPr>
          <w:p w14:paraId="36971972" w14:textId="77777777" w:rsidR="000D3F32" w:rsidRPr="008B0115" w:rsidRDefault="000D3F32" w:rsidP="001870D6">
            <w:pPr>
              <w:jc w:val="right"/>
              <w:rPr>
                <w:rFonts w:ascii="Times New Roman" w:hAnsi="Times New Roman"/>
              </w:rPr>
            </w:pPr>
            <w:r w:rsidRPr="008B0115">
              <w:rPr>
                <w:rFonts w:ascii="Times New Roman" w:hAnsi="Times New Roman"/>
              </w:rPr>
              <w:t>5</w:t>
            </w:r>
          </w:p>
        </w:tc>
        <w:tc>
          <w:tcPr>
            <w:tcW w:w="1451" w:type="dxa"/>
            <w:shd w:val="clear" w:color="auto" w:fill="FFFFFF" w:themeFill="background1"/>
          </w:tcPr>
          <w:p w14:paraId="5DB80394" w14:textId="6B061D9A" w:rsidR="000D3F32" w:rsidRPr="008B0115" w:rsidRDefault="008B0115" w:rsidP="001870D6">
            <w:pPr>
              <w:jc w:val="right"/>
              <w:rPr>
                <w:rFonts w:ascii="Times New Roman" w:hAnsi="Times New Roman"/>
              </w:rPr>
            </w:pPr>
            <w:r w:rsidRPr="008B0115">
              <w:rPr>
                <w:rFonts w:ascii="Times New Roman" w:hAnsi="Times New Roman"/>
              </w:rPr>
              <w:t>5</w:t>
            </w:r>
          </w:p>
        </w:tc>
      </w:tr>
      <w:tr w:rsidR="002D2682" w:rsidRPr="008B0115" w14:paraId="044A8135" w14:textId="77777777" w:rsidTr="001870D6">
        <w:trPr>
          <w:trHeight w:val="357"/>
        </w:trPr>
        <w:tc>
          <w:tcPr>
            <w:tcW w:w="3259" w:type="dxa"/>
            <w:shd w:val="clear" w:color="auto" w:fill="FFFFFF" w:themeFill="background1"/>
          </w:tcPr>
          <w:p w14:paraId="577927E4" w14:textId="77777777" w:rsidR="000D3F32" w:rsidRPr="008B0115" w:rsidRDefault="000D3F32" w:rsidP="001870D6">
            <w:pPr>
              <w:rPr>
                <w:rFonts w:ascii="Times New Roman" w:hAnsi="Times New Roman"/>
              </w:rPr>
            </w:pPr>
            <w:r w:rsidRPr="008B0115">
              <w:rPr>
                <w:rFonts w:ascii="Times New Roman" w:hAnsi="Times New Roman"/>
              </w:rPr>
              <w:t>Održavanje javnih površina</w:t>
            </w:r>
          </w:p>
        </w:tc>
        <w:tc>
          <w:tcPr>
            <w:tcW w:w="3257" w:type="dxa"/>
            <w:shd w:val="clear" w:color="auto" w:fill="FFFFFF" w:themeFill="background1"/>
          </w:tcPr>
          <w:p w14:paraId="5DFC470B" w14:textId="77777777" w:rsidR="000D3F32" w:rsidRPr="008B0115" w:rsidRDefault="000D3F32" w:rsidP="001870D6">
            <w:pPr>
              <w:rPr>
                <w:rFonts w:ascii="Times New Roman" w:hAnsi="Times New Roman"/>
              </w:rPr>
            </w:pPr>
            <w:r w:rsidRPr="008B0115">
              <w:rPr>
                <w:rFonts w:ascii="Times New Roman" w:hAnsi="Times New Roman"/>
              </w:rPr>
              <w:t>Površina uređenih i održavanih javnih površina (ha)</w:t>
            </w:r>
          </w:p>
        </w:tc>
        <w:tc>
          <w:tcPr>
            <w:tcW w:w="1093" w:type="dxa"/>
            <w:shd w:val="clear" w:color="auto" w:fill="FFFFFF" w:themeFill="background1"/>
          </w:tcPr>
          <w:p w14:paraId="323E5C72" w14:textId="77777777" w:rsidR="000D3F32" w:rsidRPr="008B0115" w:rsidRDefault="000D3F32" w:rsidP="001870D6">
            <w:pPr>
              <w:jc w:val="right"/>
              <w:rPr>
                <w:rFonts w:ascii="Times New Roman" w:hAnsi="Times New Roman"/>
              </w:rPr>
            </w:pPr>
            <w:r w:rsidRPr="008B0115">
              <w:rPr>
                <w:rFonts w:ascii="Times New Roman" w:hAnsi="Times New Roman"/>
              </w:rPr>
              <w:t>2</w:t>
            </w:r>
          </w:p>
        </w:tc>
        <w:tc>
          <w:tcPr>
            <w:tcW w:w="1451" w:type="dxa"/>
            <w:shd w:val="clear" w:color="auto" w:fill="FFFFFF" w:themeFill="background1"/>
          </w:tcPr>
          <w:p w14:paraId="1D6D4706" w14:textId="77777777" w:rsidR="000D3F32" w:rsidRPr="008B0115" w:rsidRDefault="000D3F32" w:rsidP="001870D6">
            <w:pPr>
              <w:jc w:val="right"/>
              <w:rPr>
                <w:rFonts w:ascii="Times New Roman" w:hAnsi="Times New Roman"/>
              </w:rPr>
            </w:pPr>
            <w:r w:rsidRPr="008B0115">
              <w:rPr>
                <w:rFonts w:ascii="Times New Roman" w:hAnsi="Times New Roman"/>
              </w:rPr>
              <w:t>2</w:t>
            </w:r>
          </w:p>
        </w:tc>
      </w:tr>
      <w:tr w:rsidR="002D2682" w:rsidRPr="008B0115" w14:paraId="4A8817E4" w14:textId="77777777" w:rsidTr="001870D6">
        <w:trPr>
          <w:trHeight w:val="357"/>
        </w:trPr>
        <w:tc>
          <w:tcPr>
            <w:tcW w:w="3259" w:type="dxa"/>
            <w:shd w:val="clear" w:color="auto" w:fill="FFFFFF" w:themeFill="background1"/>
          </w:tcPr>
          <w:p w14:paraId="394B816E" w14:textId="77777777" w:rsidR="000D3F32" w:rsidRPr="008B0115" w:rsidRDefault="000D3F32" w:rsidP="001870D6">
            <w:pPr>
              <w:rPr>
                <w:rFonts w:ascii="Times New Roman" w:hAnsi="Times New Roman"/>
              </w:rPr>
            </w:pPr>
            <w:r w:rsidRPr="008B0115">
              <w:rPr>
                <w:rFonts w:ascii="Times New Roman" w:hAnsi="Times New Roman"/>
              </w:rPr>
              <w:t>Održavanje groblja</w:t>
            </w:r>
          </w:p>
        </w:tc>
        <w:tc>
          <w:tcPr>
            <w:tcW w:w="3257" w:type="dxa"/>
            <w:shd w:val="clear" w:color="auto" w:fill="FFFFFF" w:themeFill="background1"/>
          </w:tcPr>
          <w:p w14:paraId="20B13520" w14:textId="77777777" w:rsidR="000D3F32" w:rsidRPr="008B0115" w:rsidRDefault="000D3F32" w:rsidP="001870D6">
            <w:pPr>
              <w:rPr>
                <w:rFonts w:ascii="Times New Roman" w:hAnsi="Times New Roman"/>
              </w:rPr>
            </w:pPr>
            <w:r w:rsidRPr="008B0115">
              <w:rPr>
                <w:rFonts w:ascii="Times New Roman" w:hAnsi="Times New Roman"/>
              </w:rPr>
              <w:t>Površina uređenih i održavanih groblja</w:t>
            </w:r>
          </w:p>
        </w:tc>
        <w:tc>
          <w:tcPr>
            <w:tcW w:w="1093" w:type="dxa"/>
            <w:shd w:val="clear" w:color="auto" w:fill="FFFFFF" w:themeFill="background1"/>
          </w:tcPr>
          <w:p w14:paraId="494FD023" w14:textId="77777777" w:rsidR="000D3F32" w:rsidRPr="008B0115" w:rsidRDefault="000D3F32" w:rsidP="001870D6">
            <w:pPr>
              <w:jc w:val="right"/>
              <w:rPr>
                <w:rFonts w:ascii="Times New Roman" w:hAnsi="Times New Roman"/>
              </w:rPr>
            </w:pPr>
            <w:r w:rsidRPr="008B0115">
              <w:rPr>
                <w:rFonts w:ascii="Times New Roman" w:hAnsi="Times New Roman"/>
              </w:rPr>
              <w:t>0,94 ha</w:t>
            </w:r>
          </w:p>
        </w:tc>
        <w:tc>
          <w:tcPr>
            <w:tcW w:w="1451" w:type="dxa"/>
            <w:shd w:val="clear" w:color="auto" w:fill="FFFFFF" w:themeFill="background1"/>
          </w:tcPr>
          <w:p w14:paraId="15F09B72" w14:textId="77777777" w:rsidR="000D3F32" w:rsidRPr="008B0115" w:rsidRDefault="000D3F32" w:rsidP="001870D6">
            <w:pPr>
              <w:jc w:val="right"/>
              <w:rPr>
                <w:rFonts w:ascii="Times New Roman" w:hAnsi="Times New Roman"/>
              </w:rPr>
            </w:pPr>
            <w:r w:rsidRPr="008B0115">
              <w:rPr>
                <w:rFonts w:ascii="Times New Roman" w:hAnsi="Times New Roman"/>
              </w:rPr>
              <w:t>0,94 ha</w:t>
            </w:r>
          </w:p>
        </w:tc>
      </w:tr>
      <w:bookmarkEnd w:id="1"/>
    </w:tbl>
    <w:p w14:paraId="4242B4A1" w14:textId="77777777" w:rsidR="000D3F32" w:rsidRDefault="000D3F32" w:rsidP="00505BFC">
      <w:pPr>
        <w:autoSpaceDE w:val="0"/>
        <w:autoSpaceDN w:val="0"/>
        <w:adjustRightInd w:val="0"/>
        <w:spacing w:after="0" w:line="240" w:lineRule="auto"/>
        <w:jc w:val="both"/>
        <w:rPr>
          <w:rFonts w:ascii="Times New Roman" w:hAnsi="Times New Roman"/>
        </w:rPr>
      </w:pPr>
    </w:p>
    <w:p w14:paraId="776EDBD9" w14:textId="77777777" w:rsidR="000029B6" w:rsidRDefault="000029B6" w:rsidP="000029B6">
      <w:pPr>
        <w:pStyle w:val="Heading5"/>
        <w:spacing w:before="0" w:line="240" w:lineRule="auto"/>
        <w:ind w:right="139"/>
        <w:jc w:val="center"/>
        <w:rPr>
          <w:rFonts w:ascii="Times New Roman" w:hAnsi="Times New Roman" w:cs="Times New Roman"/>
          <w:b/>
          <w:color w:val="auto"/>
          <w:w w:val="115"/>
        </w:rPr>
      </w:pPr>
    </w:p>
    <w:p w14:paraId="3CA18AF4" w14:textId="77777777" w:rsidR="000029B6" w:rsidRDefault="000029B6" w:rsidP="000029B6"/>
    <w:p w14:paraId="1C5C7481" w14:textId="77777777" w:rsidR="000029B6" w:rsidRDefault="000029B6" w:rsidP="000029B6"/>
    <w:p w14:paraId="21EE45BE" w14:textId="77777777" w:rsidR="000029B6" w:rsidRPr="000029B6" w:rsidRDefault="000029B6" w:rsidP="000029B6"/>
    <w:p w14:paraId="72F503D9" w14:textId="77777777" w:rsidR="000029B6" w:rsidRDefault="000029B6" w:rsidP="000029B6">
      <w:pPr>
        <w:pStyle w:val="Heading5"/>
        <w:spacing w:before="0" w:line="240" w:lineRule="auto"/>
        <w:ind w:right="139"/>
        <w:jc w:val="center"/>
        <w:rPr>
          <w:rFonts w:ascii="Times New Roman" w:hAnsi="Times New Roman" w:cs="Times New Roman"/>
          <w:b/>
          <w:color w:val="auto"/>
          <w:w w:val="115"/>
        </w:rPr>
      </w:pPr>
    </w:p>
    <w:p w14:paraId="61E479F7" w14:textId="1AF0B059" w:rsidR="005D6D15" w:rsidRPr="007A1751" w:rsidRDefault="000029B6" w:rsidP="005D6D15">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t>Program 10</w:t>
      </w:r>
      <w:r w:rsidR="005D6D15">
        <w:rPr>
          <w:rFonts w:ascii="Times New Roman" w:hAnsi="Times New Roman" w:cs="Times New Roman"/>
          <w:b/>
          <w:color w:val="auto"/>
          <w:w w:val="115"/>
        </w:rPr>
        <w:t>16</w:t>
      </w:r>
      <w:r w:rsidRPr="007A1751">
        <w:rPr>
          <w:rFonts w:ascii="Times New Roman" w:hAnsi="Times New Roman" w:cs="Times New Roman"/>
          <w:b/>
          <w:color w:val="auto"/>
          <w:w w:val="115"/>
        </w:rPr>
        <w:t xml:space="preserve">: </w:t>
      </w:r>
      <w:r w:rsidR="005D6D15">
        <w:rPr>
          <w:rFonts w:ascii="Times New Roman" w:hAnsi="Times New Roman" w:cs="Times New Roman"/>
          <w:b/>
          <w:color w:val="auto"/>
          <w:w w:val="115"/>
        </w:rPr>
        <w:t>PREDŠKOLSKI ODGOJ I SKRB O DJECI I Program 1017</w:t>
      </w:r>
      <w:r w:rsidR="005D6D15" w:rsidRPr="007A1751">
        <w:rPr>
          <w:rFonts w:ascii="Times New Roman" w:hAnsi="Times New Roman" w:cs="Times New Roman"/>
          <w:b/>
          <w:color w:val="auto"/>
          <w:w w:val="115"/>
        </w:rPr>
        <w:t xml:space="preserve">: </w:t>
      </w:r>
      <w:r w:rsidR="005D6D15">
        <w:rPr>
          <w:rFonts w:ascii="Times New Roman" w:hAnsi="Times New Roman" w:cs="Times New Roman"/>
          <w:b/>
          <w:color w:val="auto"/>
          <w:w w:val="115"/>
        </w:rPr>
        <w:t>JAVNE POTREBE U OBRAZOVANJU</w:t>
      </w:r>
    </w:p>
    <w:p w14:paraId="69968D0A" w14:textId="2AD253C5" w:rsidR="000029B6" w:rsidRPr="007A1751" w:rsidRDefault="000029B6" w:rsidP="000029B6">
      <w:pPr>
        <w:pStyle w:val="Heading5"/>
        <w:spacing w:before="0" w:line="240" w:lineRule="auto"/>
        <w:ind w:right="139"/>
        <w:jc w:val="center"/>
        <w:rPr>
          <w:rFonts w:ascii="Times New Roman" w:hAnsi="Times New Roman" w:cs="Times New Roman"/>
          <w:b/>
          <w:color w:val="auto"/>
        </w:rPr>
      </w:pPr>
    </w:p>
    <w:p w14:paraId="5B0F9A34" w14:textId="77777777" w:rsidR="000029B6" w:rsidRDefault="000029B6" w:rsidP="00B67D3D">
      <w:pPr>
        <w:autoSpaceDE w:val="0"/>
        <w:autoSpaceDN w:val="0"/>
        <w:adjustRightInd w:val="0"/>
        <w:spacing w:after="0" w:line="240" w:lineRule="auto"/>
        <w:jc w:val="both"/>
        <w:rPr>
          <w:rFonts w:ascii="Times New Roman" w:hAnsi="Times New Roman"/>
          <w:b/>
          <w:bCs/>
        </w:rPr>
      </w:pPr>
    </w:p>
    <w:p w14:paraId="5638E1E7" w14:textId="77777777" w:rsidR="00004C94" w:rsidRPr="00004C94" w:rsidRDefault="00004C94" w:rsidP="00004C94">
      <w:pPr>
        <w:autoSpaceDE w:val="0"/>
        <w:autoSpaceDN w:val="0"/>
        <w:adjustRightInd w:val="0"/>
        <w:spacing w:after="0" w:line="240" w:lineRule="auto"/>
        <w:jc w:val="both"/>
        <w:rPr>
          <w:rFonts w:ascii="Times New Roman" w:hAnsi="Times New Roman"/>
          <w:b/>
          <w:bCs/>
        </w:rPr>
      </w:pPr>
      <w:r w:rsidRPr="00004C94">
        <w:rPr>
          <w:rFonts w:ascii="Times New Roman" w:hAnsi="Times New Roman"/>
        </w:rPr>
        <w:t xml:space="preserve">U 2025. godini Program predškolskog odgoja i obrazovanja realiziran je u iznosu od </w:t>
      </w:r>
      <w:r w:rsidRPr="00004C94">
        <w:rPr>
          <w:rFonts w:ascii="Times New Roman" w:hAnsi="Times New Roman"/>
          <w:b/>
          <w:bCs/>
        </w:rPr>
        <w:t>171.082,85 EUR</w:t>
      </w:r>
    </w:p>
    <w:p w14:paraId="5F3F49BC" w14:textId="77777777" w:rsidR="00004C94" w:rsidRPr="00004C94" w:rsidRDefault="00004C94" w:rsidP="00004C94">
      <w:pPr>
        <w:autoSpaceDE w:val="0"/>
        <w:autoSpaceDN w:val="0"/>
        <w:adjustRightInd w:val="0"/>
        <w:spacing w:after="0" w:line="240" w:lineRule="auto"/>
        <w:jc w:val="both"/>
        <w:rPr>
          <w:rFonts w:ascii="Times New Roman" w:hAnsi="Times New Roman"/>
        </w:rPr>
      </w:pPr>
      <w:r w:rsidRPr="00004C94">
        <w:rPr>
          <w:rFonts w:ascii="Times New Roman" w:hAnsi="Times New Roman"/>
        </w:rPr>
        <w:t xml:space="preserve">Iznos od 117.264,67 EUR utrošen je na aktivnost </w:t>
      </w:r>
      <w:r w:rsidRPr="00004C94">
        <w:rPr>
          <w:rFonts w:ascii="Times New Roman" w:hAnsi="Times New Roman"/>
          <w:i/>
          <w:iCs/>
        </w:rPr>
        <w:t>Sufinanciranje programa predškolskog odgoja</w:t>
      </w:r>
      <w:r w:rsidRPr="00004C94">
        <w:rPr>
          <w:rFonts w:ascii="Times New Roman" w:hAnsi="Times New Roman"/>
        </w:rPr>
        <w:t>, odnosno na financiranje troškova plaće za dva odgajatelja na puno radno vrijeme, kuharice na pola radnog vremena, troškova plaće računovođe na pola radnog vremena za izvršavanje potrebnih računovodstvenih poslova za Program predškolskog odgoja, medicinske sestre i psihologa ili ostalo prema potrebi, osiguravanja zamjena u slučaju potrebe, financiranje režijskih troškova vrtića, sredstva za čišćenje i održavanje prostorija, potrošnog materijala i ostalih prava odgajatelja kao što su regres, jubilarne nagrade i slično.</w:t>
      </w:r>
    </w:p>
    <w:p w14:paraId="19FCA3F1" w14:textId="77777777" w:rsidR="00004C94" w:rsidRPr="00004C94" w:rsidRDefault="00004C94" w:rsidP="00004C94">
      <w:pPr>
        <w:spacing w:after="0" w:line="240" w:lineRule="auto"/>
        <w:jc w:val="both"/>
        <w:rPr>
          <w:rFonts w:ascii="Times New Roman" w:hAnsi="Times New Roman"/>
          <w:color w:val="FF0000"/>
        </w:rPr>
      </w:pPr>
    </w:p>
    <w:p w14:paraId="0C2A0495" w14:textId="77777777" w:rsidR="00004C94" w:rsidRPr="00004C94" w:rsidRDefault="00004C94" w:rsidP="00004C94">
      <w:pPr>
        <w:spacing w:after="0" w:line="240" w:lineRule="auto"/>
        <w:jc w:val="both"/>
        <w:rPr>
          <w:rFonts w:ascii="Times New Roman" w:hAnsi="Times New Roman"/>
        </w:rPr>
      </w:pPr>
      <w:r w:rsidRPr="00004C94">
        <w:rPr>
          <w:rFonts w:ascii="Times New Roman" w:hAnsi="Times New Roman"/>
        </w:rPr>
        <w:t xml:space="preserve">Na aktivnost </w:t>
      </w:r>
      <w:r w:rsidRPr="00004C94">
        <w:rPr>
          <w:rFonts w:ascii="Times New Roman" w:hAnsi="Times New Roman"/>
          <w:i/>
          <w:iCs/>
        </w:rPr>
        <w:t xml:space="preserve">Sufinanciranje boravka djece u jaslicama </w:t>
      </w:r>
      <w:r w:rsidRPr="00004C94">
        <w:rPr>
          <w:rFonts w:ascii="Times New Roman" w:hAnsi="Times New Roman"/>
        </w:rPr>
        <w:t>u 2025. godini utrošeno je 20.563,18 EUR. Navedeni se iznos odnosi na sufinanciranje boravka četvero djece s prebivalištem na području Općine Oprtalj - Portole u jaslicama / vrtiću u Bujama sukladno Sporazumu o sufinanciranju ekonomske cijene boravka djece u Dječjem vrtiću Buje i Talijanskom dječjem vrtiću Mrvica u Bujama, sve temeljem Odluke o financiranju i postupku sufinanciranja cijene jaslica u predškolskim ustanovama djece sa prebivalištem na području Općine Oprtalj („Službene novine Općine Oprtalj – Portole“ broj 11/20).</w:t>
      </w:r>
    </w:p>
    <w:p w14:paraId="42FE8C2A" w14:textId="77777777" w:rsidR="00004C94" w:rsidRPr="00004C94" w:rsidRDefault="00004C94" w:rsidP="00004C94">
      <w:pPr>
        <w:spacing w:after="0" w:line="240" w:lineRule="auto"/>
        <w:jc w:val="both"/>
        <w:rPr>
          <w:rFonts w:ascii="Times New Roman" w:hAnsi="Times New Roman"/>
          <w:color w:val="FF0000"/>
        </w:rPr>
      </w:pPr>
    </w:p>
    <w:p w14:paraId="3A53FE66" w14:textId="77777777" w:rsidR="00004C94" w:rsidRPr="00004C94" w:rsidRDefault="00004C94" w:rsidP="00004C94">
      <w:pPr>
        <w:spacing w:after="0" w:line="240" w:lineRule="auto"/>
        <w:jc w:val="both"/>
        <w:rPr>
          <w:rFonts w:ascii="Times New Roman" w:hAnsi="Times New Roman"/>
        </w:rPr>
      </w:pPr>
      <w:r w:rsidRPr="00004C94">
        <w:rPr>
          <w:rFonts w:ascii="Times New Roman" w:hAnsi="Times New Roman"/>
        </w:rPr>
        <w:t xml:space="preserve">Na aktivnost </w:t>
      </w:r>
      <w:r w:rsidRPr="00004C94">
        <w:rPr>
          <w:rFonts w:ascii="Times New Roman" w:hAnsi="Times New Roman"/>
          <w:i/>
          <w:iCs/>
        </w:rPr>
        <w:t>Stipendiranje srednjoškolaca i studenata</w:t>
      </w:r>
      <w:r w:rsidRPr="00004C94">
        <w:rPr>
          <w:rFonts w:ascii="Times New Roman" w:hAnsi="Times New Roman"/>
        </w:rPr>
        <w:t xml:space="preserve"> s prebivalištem na području Općine Oprtalj – Portole u 2025. godini utrošeno je 12.750 EUR. Odlukom općinskog načelnika („Službene novine Općine Oprtalj – Portole“ broj 17/24.) utvrđeno je kako će se srednjoškolcima stipendija u iznosu od 50 eura mjesečno isplaćivati za razdoblje od 01. rujna 2024. godine do 31. svibnja 2025. godine, dok će se studentima stipendija u iznosu od 100,00 EUR mjesečno isplaćivati za razdoblje od 01. listopada 2024. godine do 30. lipnja 2025. godine. Odlukom o utvrđivanju kriterija za dodjelu stipendija u školskoj/akademskoj godini 2025./2026. („Službene novine Općine Oprtalj – Portole“ broj 10/25.) utvrđeno je kako će se učenicima stipendija u iznosu od 75,00 EUR mjesečno isplaćivati za razdoblje od 01. rujna 2025. do 31. svibnja 2026. godine, dok će se studentima stipendija u iznosu 150,00 EUR mjesečno isplaćivati za razdoblje od 01. listopada 2025. do 30. lipnja 2026. godine.</w:t>
      </w:r>
    </w:p>
    <w:p w14:paraId="43537269" w14:textId="77777777" w:rsidR="00004C94" w:rsidRPr="00004C94" w:rsidRDefault="00004C94" w:rsidP="00004C94">
      <w:pPr>
        <w:spacing w:after="0" w:line="240" w:lineRule="auto"/>
        <w:jc w:val="both"/>
        <w:rPr>
          <w:rFonts w:ascii="Times New Roman" w:hAnsi="Times New Roman"/>
          <w:color w:val="FF0000"/>
        </w:rPr>
      </w:pPr>
    </w:p>
    <w:p w14:paraId="7358FA70" w14:textId="77777777" w:rsidR="00004C94" w:rsidRPr="00004C94" w:rsidRDefault="00004C94" w:rsidP="00004C94">
      <w:pPr>
        <w:spacing w:after="0" w:line="240" w:lineRule="auto"/>
        <w:jc w:val="both"/>
        <w:rPr>
          <w:rFonts w:ascii="Times New Roman" w:hAnsi="Times New Roman"/>
          <w:bCs/>
        </w:rPr>
      </w:pPr>
      <w:r w:rsidRPr="00004C94">
        <w:rPr>
          <w:rFonts w:ascii="Times New Roman" w:hAnsi="Times New Roman"/>
          <w:bCs/>
        </w:rPr>
        <w:t xml:space="preserve">Za </w:t>
      </w:r>
      <w:r w:rsidRPr="00004C94">
        <w:rPr>
          <w:rFonts w:ascii="Times New Roman" w:hAnsi="Times New Roman"/>
          <w:bCs/>
          <w:i/>
          <w:iCs/>
        </w:rPr>
        <w:t>Financiranje programa produženog boravka</w:t>
      </w:r>
      <w:r w:rsidRPr="00004C94">
        <w:rPr>
          <w:rFonts w:ascii="Times New Roman" w:hAnsi="Times New Roman"/>
          <w:bCs/>
        </w:rPr>
        <w:t xml:space="preserve"> utrošeno je 15.607,50 EUR temeljem Odluke o financiranju produženog boravka učenika Osnovne škole „Milana Šorga“ Oprtalj u školskoj godini 2024./2025. i u školskoj godini 2025./2026.</w:t>
      </w:r>
    </w:p>
    <w:p w14:paraId="378C81CA" w14:textId="77777777" w:rsidR="00004C94" w:rsidRPr="00004C94" w:rsidRDefault="00004C94" w:rsidP="00004C94">
      <w:pPr>
        <w:spacing w:after="0" w:line="240" w:lineRule="auto"/>
        <w:jc w:val="both"/>
        <w:rPr>
          <w:rFonts w:ascii="Times New Roman" w:hAnsi="Times New Roman"/>
          <w:bCs/>
        </w:rPr>
      </w:pPr>
    </w:p>
    <w:p w14:paraId="245BF9D3" w14:textId="77777777" w:rsidR="00004C94" w:rsidRPr="00004C94" w:rsidRDefault="00004C94" w:rsidP="00004C94">
      <w:pPr>
        <w:spacing w:after="0" w:line="240" w:lineRule="auto"/>
        <w:jc w:val="both"/>
        <w:rPr>
          <w:rFonts w:ascii="Times New Roman" w:hAnsi="Times New Roman"/>
        </w:rPr>
      </w:pPr>
      <w:r w:rsidRPr="00004C94">
        <w:rPr>
          <w:rFonts w:ascii="Times New Roman" w:hAnsi="Times New Roman"/>
          <w:bCs/>
          <w:i/>
          <w:iCs/>
        </w:rPr>
        <w:t>Za sufinanciranje izvannastavnih aktivnosti osnovnoškolaca</w:t>
      </w:r>
      <w:r w:rsidRPr="00004C94">
        <w:rPr>
          <w:rFonts w:ascii="Times New Roman" w:hAnsi="Times New Roman"/>
          <w:i/>
          <w:iCs/>
        </w:rPr>
        <w:t xml:space="preserve"> u 2025. godini </w:t>
      </w:r>
      <w:r w:rsidRPr="00004C94">
        <w:rPr>
          <w:rFonts w:ascii="Times New Roman" w:hAnsi="Times New Roman"/>
          <w:iCs/>
        </w:rPr>
        <w:t xml:space="preserve">utrošeno je ukupno </w:t>
      </w:r>
      <w:r w:rsidRPr="00004C94">
        <w:rPr>
          <w:rFonts w:ascii="Times New Roman" w:hAnsi="Times New Roman"/>
        </w:rPr>
        <w:t>150,00 EUR</w:t>
      </w:r>
      <w:r w:rsidRPr="00004C94">
        <w:rPr>
          <w:rFonts w:ascii="Times New Roman" w:hAnsi="Times New Roman"/>
          <w:i/>
          <w:iCs/>
        </w:rPr>
        <w:t xml:space="preserve"> </w:t>
      </w:r>
      <w:r w:rsidRPr="00004C94">
        <w:rPr>
          <w:rFonts w:ascii="Times New Roman" w:hAnsi="Times New Roman"/>
          <w:iCs/>
        </w:rPr>
        <w:t>i to za sufinanciranja dječjih izleta po zaprimljenim zahtjevima</w:t>
      </w:r>
      <w:r w:rsidRPr="00004C94">
        <w:rPr>
          <w:rFonts w:ascii="Times New Roman" w:hAnsi="Times New Roman"/>
          <w:i/>
          <w:iCs/>
        </w:rPr>
        <w:t xml:space="preserve">, </w:t>
      </w:r>
      <w:r w:rsidRPr="00004C94">
        <w:rPr>
          <w:rFonts w:ascii="Times New Roman" w:hAnsi="Times New Roman"/>
          <w:bCs/>
          <w:i/>
          <w:iCs/>
        </w:rPr>
        <w:t>za sufinanciranje školskog pribora učenicima Osnovne škole Milana Šorga Oprtalj</w:t>
      </w:r>
      <w:r w:rsidRPr="00004C94">
        <w:rPr>
          <w:rFonts w:ascii="Times New Roman" w:hAnsi="Times New Roman"/>
          <w:i/>
          <w:iCs/>
        </w:rPr>
        <w:t xml:space="preserve"> </w:t>
      </w:r>
      <w:r w:rsidRPr="00004C94">
        <w:rPr>
          <w:rFonts w:ascii="Times New Roman" w:hAnsi="Times New Roman"/>
        </w:rPr>
        <w:t>utrošeno je 2.247,80 EUR</w:t>
      </w:r>
      <w:r w:rsidRPr="00004C94">
        <w:rPr>
          <w:rFonts w:ascii="Times New Roman" w:hAnsi="Times New Roman"/>
          <w:i/>
          <w:iCs/>
        </w:rPr>
        <w:t xml:space="preserve"> </w:t>
      </w:r>
      <w:r w:rsidRPr="00004C94">
        <w:rPr>
          <w:rFonts w:ascii="Times New Roman" w:hAnsi="Times New Roman"/>
        </w:rPr>
        <w:t>sukladno članku 16. Odluke o socijalnoj skrbi Općine Oprtalj – Portole („Službene novine Općine Oprtalj – Portole“ broj 13/21, 9/22)</w:t>
      </w:r>
      <w:r w:rsidRPr="00004C94">
        <w:rPr>
          <w:rFonts w:ascii="Times New Roman" w:hAnsi="Times New Roman"/>
          <w:i/>
          <w:iCs/>
        </w:rPr>
        <w:t xml:space="preserve">, te  za </w:t>
      </w:r>
      <w:r w:rsidRPr="00004C94">
        <w:rPr>
          <w:rFonts w:ascii="Times New Roman" w:hAnsi="Times New Roman"/>
          <w:bCs/>
          <w:i/>
          <w:iCs/>
        </w:rPr>
        <w:t>Prigodna darivanja djece povodom blagdana</w:t>
      </w:r>
      <w:r w:rsidRPr="00004C94">
        <w:rPr>
          <w:rFonts w:ascii="Times New Roman" w:hAnsi="Times New Roman"/>
          <w:i/>
          <w:iCs/>
        </w:rPr>
        <w:t xml:space="preserve"> </w:t>
      </w:r>
      <w:r w:rsidRPr="00004C94">
        <w:rPr>
          <w:rFonts w:ascii="Times New Roman" w:hAnsi="Times New Roman"/>
        </w:rPr>
        <w:t xml:space="preserve">utrošeno je ukupno 980,17 EUR sukladno članku 23. Odluke o socijalnoj skrbi Općine Oprtalj – Portole („Službene novine Općine Oprtalj – Portole“ broj 13/21, 9/22). </w:t>
      </w:r>
    </w:p>
    <w:p w14:paraId="778BEC84" w14:textId="77777777" w:rsidR="00004C94" w:rsidRPr="00004C94" w:rsidRDefault="00004C94" w:rsidP="00004C94">
      <w:pPr>
        <w:spacing w:after="0" w:line="240" w:lineRule="auto"/>
        <w:jc w:val="both"/>
        <w:rPr>
          <w:rFonts w:ascii="Times New Roman" w:hAnsi="Times New Roman"/>
          <w:color w:val="FF0000"/>
        </w:rPr>
      </w:pPr>
    </w:p>
    <w:p w14:paraId="4DFD6E20" w14:textId="77777777" w:rsidR="00004C94" w:rsidRPr="00004C94" w:rsidRDefault="00004C94" w:rsidP="00004C94">
      <w:pPr>
        <w:spacing w:after="0" w:line="240" w:lineRule="auto"/>
        <w:jc w:val="both"/>
        <w:rPr>
          <w:rFonts w:ascii="Times New Roman" w:hAnsi="Times New Roman"/>
        </w:rPr>
      </w:pPr>
      <w:r w:rsidRPr="00004C94">
        <w:rPr>
          <w:rFonts w:ascii="Times New Roman" w:hAnsi="Times New Roman"/>
        </w:rPr>
        <w:t xml:space="preserve">U 2025. godini za </w:t>
      </w:r>
      <w:r w:rsidRPr="00004C94">
        <w:rPr>
          <w:rFonts w:ascii="Times New Roman" w:hAnsi="Times New Roman"/>
          <w:i/>
        </w:rPr>
        <w:t>Obilježavanje dječjeg tjedna</w:t>
      </w:r>
      <w:r w:rsidRPr="00004C94">
        <w:rPr>
          <w:rFonts w:ascii="Times New Roman" w:hAnsi="Times New Roman"/>
        </w:rPr>
        <w:t xml:space="preserve"> utrošena su sredstva u iznosu od 1.519,53 EUR i to za organizaciju raznih radionica i predstava za djecu.</w:t>
      </w:r>
    </w:p>
    <w:p w14:paraId="208CA61F" w14:textId="77777777" w:rsidR="00505BFC" w:rsidRPr="00004C94" w:rsidRDefault="00505BFC" w:rsidP="00C97C6B">
      <w:pPr>
        <w:spacing w:after="0" w:line="240" w:lineRule="auto"/>
        <w:jc w:val="both"/>
        <w:rPr>
          <w:rFonts w:ascii="Times New Roman" w:hAnsi="Times New Roman"/>
          <w:color w:val="FF0000"/>
        </w:rPr>
      </w:pPr>
    </w:p>
    <w:p w14:paraId="4ECDC5AF" w14:textId="77777777" w:rsidR="00C97C6B" w:rsidRPr="00004C94" w:rsidRDefault="00C97C6B" w:rsidP="00C97C6B">
      <w:pPr>
        <w:spacing w:after="0" w:line="240" w:lineRule="auto"/>
        <w:jc w:val="both"/>
        <w:rPr>
          <w:rFonts w:ascii="Times New Roman" w:hAnsi="Times New Roman"/>
          <w:b/>
          <w:w w:val="115"/>
        </w:rPr>
      </w:pPr>
      <w:r w:rsidRPr="00004C94">
        <w:rPr>
          <w:rFonts w:ascii="Times New Roman" w:hAnsi="Times New Roman"/>
          <w:b/>
          <w:w w:val="115"/>
        </w:rPr>
        <w:t xml:space="preserve">Cilj programa javnih potreba u predškolskom odgoju i obrazovanju: </w:t>
      </w:r>
      <w:r w:rsidRPr="00004C94">
        <w:rPr>
          <w:rFonts w:ascii="Times New Roman" w:hAnsi="Times New Roman"/>
          <w:w w:val="115"/>
        </w:rPr>
        <w:t>Programom se želi pružiti podrška školi u provođenju projekata, te djeci i mladima u pohađanju osnovnoškolskih, srednjoškolskih i visokoškolskih obrazovnih programa. Osnovni cilj programa je razvoj ljudskih potencijala. Posebni ciljevi programa su osiguranje dijela financijskih sredstava za realizaciju projekata škole usmjerenih na razvoj i unapređenje odgoja i obrazovanja, osiguranje financijskih sredstava za stipendiranje učenika i studenata sa područja općine Oprtalj</w:t>
      </w:r>
      <w:r w:rsidRPr="00004C94">
        <w:rPr>
          <w:rFonts w:ascii="Times New Roman" w:hAnsi="Times New Roman"/>
          <w:spacing w:val="38"/>
          <w:w w:val="115"/>
        </w:rPr>
        <w:t xml:space="preserve"> </w:t>
      </w:r>
      <w:r w:rsidRPr="00004C94">
        <w:rPr>
          <w:rFonts w:ascii="Times New Roman" w:hAnsi="Times New Roman"/>
          <w:w w:val="115"/>
        </w:rPr>
        <w:t>u</w:t>
      </w:r>
      <w:r w:rsidRPr="00004C94">
        <w:rPr>
          <w:rFonts w:ascii="Times New Roman" w:hAnsi="Times New Roman"/>
          <w:spacing w:val="36"/>
          <w:w w:val="115"/>
        </w:rPr>
        <w:t xml:space="preserve"> </w:t>
      </w:r>
      <w:r w:rsidRPr="00004C94">
        <w:rPr>
          <w:rFonts w:ascii="Times New Roman" w:hAnsi="Times New Roman"/>
          <w:w w:val="115"/>
        </w:rPr>
        <w:t>cilju</w:t>
      </w:r>
      <w:r w:rsidRPr="00004C94">
        <w:rPr>
          <w:rFonts w:ascii="Times New Roman" w:hAnsi="Times New Roman"/>
          <w:spacing w:val="38"/>
          <w:w w:val="115"/>
        </w:rPr>
        <w:t xml:space="preserve"> </w:t>
      </w:r>
      <w:r w:rsidRPr="00004C94">
        <w:rPr>
          <w:rFonts w:ascii="Times New Roman" w:hAnsi="Times New Roman"/>
          <w:w w:val="115"/>
        </w:rPr>
        <w:t>uravnoteženja</w:t>
      </w:r>
      <w:r w:rsidRPr="00004C94">
        <w:rPr>
          <w:rFonts w:ascii="Times New Roman" w:hAnsi="Times New Roman"/>
          <w:spacing w:val="36"/>
          <w:w w:val="115"/>
        </w:rPr>
        <w:t xml:space="preserve"> </w:t>
      </w:r>
      <w:r w:rsidRPr="00004C94">
        <w:rPr>
          <w:rFonts w:ascii="Times New Roman" w:hAnsi="Times New Roman"/>
          <w:w w:val="115"/>
        </w:rPr>
        <w:t>ponude</w:t>
      </w:r>
      <w:r w:rsidRPr="00004C94">
        <w:rPr>
          <w:rFonts w:ascii="Times New Roman" w:hAnsi="Times New Roman"/>
          <w:spacing w:val="36"/>
          <w:w w:val="115"/>
        </w:rPr>
        <w:t xml:space="preserve"> </w:t>
      </w:r>
      <w:r w:rsidRPr="00004C94">
        <w:rPr>
          <w:rFonts w:ascii="Times New Roman" w:hAnsi="Times New Roman"/>
          <w:w w:val="115"/>
        </w:rPr>
        <w:t>i</w:t>
      </w:r>
      <w:r w:rsidRPr="00004C94">
        <w:rPr>
          <w:rFonts w:ascii="Times New Roman" w:hAnsi="Times New Roman"/>
          <w:spacing w:val="36"/>
          <w:w w:val="115"/>
        </w:rPr>
        <w:t xml:space="preserve"> </w:t>
      </w:r>
      <w:r w:rsidRPr="00004C94">
        <w:rPr>
          <w:rFonts w:ascii="Times New Roman" w:hAnsi="Times New Roman"/>
          <w:w w:val="115"/>
        </w:rPr>
        <w:t>potražnje</w:t>
      </w:r>
      <w:r w:rsidRPr="00004C94">
        <w:rPr>
          <w:rFonts w:ascii="Times New Roman" w:hAnsi="Times New Roman"/>
          <w:spacing w:val="39"/>
          <w:w w:val="115"/>
        </w:rPr>
        <w:t xml:space="preserve"> </w:t>
      </w:r>
      <w:r w:rsidRPr="00004C94">
        <w:rPr>
          <w:rFonts w:ascii="Times New Roman" w:hAnsi="Times New Roman"/>
          <w:w w:val="115"/>
        </w:rPr>
        <w:t>na</w:t>
      </w:r>
      <w:r w:rsidRPr="00004C94">
        <w:rPr>
          <w:rFonts w:ascii="Times New Roman" w:hAnsi="Times New Roman"/>
          <w:spacing w:val="36"/>
          <w:w w:val="115"/>
        </w:rPr>
        <w:t xml:space="preserve"> </w:t>
      </w:r>
      <w:r w:rsidRPr="00004C94">
        <w:rPr>
          <w:rFonts w:ascii="Times New Roman" w:hAnsi="Times New Roman"/>
          <w:w w:val="115"/>
        </w:rPr>
        <w:t>tržištu</w:t>
      </w:r>
      <w:r w:rsidRPr="00004C94">
        <w:rPr>
          <w:rFonts w:ascii="Times New Roman" w:hAnsi="Times New Roman"/>
          <w:spacing w:val="36"/>
          <w:w w:val="115"/>
        </w:rPr>
        <w:t xml:space="preserve"> </w:t>
      </w:r>
      <w:r w:rsidRPr="00004C94">
        <w:rPr>
          <w:rFonts w:ascii="Times New Roman" w:hAnsi="Times New Roman"/>
          <w:w w:val="115"/>
        </w:rPr>
        <w:t>rada,</w:t>
      </w:r>
      <w:r w:rsidRPr="00004C94">
        <w:rPr>
          <w:rFonts w:ascii="Times New Roman" w:hAnsi="Times New Roman"/>
          <w:spacing w:val="36"/>
          <w:w w:val="115"/>
        </w:rPr>
        <w:t xml:space="preserve"> </w:t>
      </w:r>
      <w:r w:rsidRPr="00004C94">
        <w:rPr>
          <w:rFonts w:ascii="Times New Roman" w:hAnsi="Times New Roman"/>
          <w:w w:val="115"/>
        </w:rPr>
        <w:t>uz</w:t>
      </w:r>
      <w:r w:rsidRPr="00004C94">
        <w:rPr>
          <w:rFonts w:ascii="Times New Roman" w:hAnsi="Times New Roman"/>
          <w:spacing w:val="36"/>
          <w:w w:val="115"/>
        </w:rPr>
        <w:t xml:space="preserve"> </w:t>
      </w:r>
      <w:r w:rsidRPr="00004C94">
        <w:rPr>
          <w:rFonts w:ascii="Times New Roman" w:hAnsi="Times New Roman"/>
          <w:w w:val="115"/>
        </w:rPr>
        <w:lastRenderedPageBreak/>
        <w:t>osiguranje sredstava za financiranje nabave udžbenika za osnovnu školu te osiguranje dijela sredstava za financiranje poboljšanja materijalno tehničkih uvjeta u školama.</w:t>
      </w:r>
    </w:p>
    <w:p w14:paraId="47259CEC" w14:textId="77777777" w:rsidR="005C78E0" w:rsidRPr="00004C94" w:rsidRDefault="005C78E0" w:rsidP="00C97C6B">
      <w:pPr>
        <w:spacing w:after="0" w:line="240" w:lineRule="auto"/>
        <w:jc w:val="both"/>
        <w:rPr>
          <w:rFonts w:ascii="Times New Roman" w:hAnsi="Times New Roman"/>
          <w:color w:val="FF0000"/>
        </w:rPr>
      </w:pPr>
    </w:p>
    <w:p w14:paraId="0901D51E" w14:textId="77777777" w:rsidR="00C97C6B" w:rsidRPr="00B67D3D" w:rsidRDefault="00C97C6B" w:rsidP="00C97C6B">
      <w:pPr>
        <w:spacing w:after="0" w:line="240" w:lineRule="auto"/>
        <w:jc w:val="both"/>
        <w:rPr>
          <w:rFonts w:ascii="Times New Roman" w:hAnsi="Times New Roman"/>
          <w:b/>
          <w:bCs/>
        </w:rPr>
      </w:pPr>
      <w:r w:rsidRPr="00B67D3D">
        <w:rPr>
          <w:rFonts w:ascii="Times New Roman" w:hAnsi="Times New Roman"/>
          <w:b/>
          <w:bCs/>
        </w:rPr>
        <w:t>Pokazatelji uspješnosti:</w:t>
      </w:r>
    </w:p>
    <w:p w14:paraId="743E2D71" w14:textId="6F679712" w:rsidR="00466023" w:rsidRDefault="00466023" w:rsidP="000D3F32">
      <w:pPr>
        <w:pStyle w:val="ListParagraph"/>
        <w:numPr>
          <w:ilvl w:val="0"/>
          <w:numId w:val="20"/>
        </w:numPr>
        <w:spacing w:after="0" w:line="240" w:lineRule="auto"/>
        <w:jc w:val="both"/>
        <w:rPr>
          <w:rFonts w:ascii="Times New Roman" w:hAnsi="Times New Roman"/>
        </w:rPr>
      </w:pPr>
      <w:r>
        <w:rPr>
          <w:rFonts w:ascii="Times New Roman" w:hAnsi="Times New Roman"/>
        </w:rPr>
        <w:t>broj korisnika programa predškolskog odgoja</w:t>
      </w:r>
    </w:p>
    <w:p w14:paraId="741B7370" w14:textId="1DE02B07" w:rsidR="00466023" w:rsidRDefault="00466023" w:rsidP="000D3F32">
      <w:pPr>
        <w:pStyle w:val="ListParagraph"/>
        <w:numPr>
          <w:ilvl w:val="0"/>
          <w:numId w:val="20"/>
        </w:numPr>
        <w:spacing w:after="0" w:line="240" w:lineRule="auto"/>
        <w:jc w:val="both"/>
        <w:rPr>
          <w:rFonts w:ascii="Times New Roman" w:hAnsi="Times New Roman"/>
        </w:rPr>
      </w:pPr>
      <w:r>
        <w:rPr>
          <w:rFonts w:ascii="Times New Roman" w:hAnsi="Times New Roman"/>
        </w:rPr>
        <w:t>broj djece koji borave u jaslicama</w:t>
      </w:r>
    </w:p>
    <w:p w14:paraId="3AC36E43" w14:textId="77777777" w:rsidR="000D3F32" w:rsidRPr="000474B9" w:rsidRDefault="000D3F32" w:rsidP="000D3F32">
      <w:pPr>
        <w:pStyle w:val="ListParagraph"/>
        <w:numPr>
          <w:ilvl w:val="0"/>
          <w:numId w:val="20"/>
        </w:numPr>
        <w:spacing w:after="0" w:line="240" w:lineRule="auto"/>
        <w:jc w:val="both"/>
        <w:rPr>
          <w:rFonts w:ascii="Times New Roman" w:hAnsi="Times New Roman"/>
        </w:rPr>
      </w:pPr>
      <w:r w:rsidRPr="000474B9">
        <w:rPr>
          <w:rFonts w:ascii="Times New Roman" w:hAnsi="Times New Roman"/>
        </w:rPr>
        <w:t>broj učenika u produženom boravku (poboljšanje materijalno tehničkih uvjeta u školama na području Općine Oprtalj)</w:t>
      </w:r>
    </w:p>
    <w:p w14:paraId="7669D0E2" w14:textId="77777777" w:rsidR="000D3F32" w:rsidRPr="000474B9" w:rsidRDefault="000D3F32" w:rsidP="000D3F32">
      <w:pPr>
        <w:pStyle w:val="ListParagraph"/>
        <w:numPr>
          <w:ilvl w:val="0"/>
          <w:numId w:val="20"/>
        </w:numPr>
        <w:spacing w:after="0" w:line="240" w:lineRule="auto"/>
        <w:jc w:val="both"/>
        <w:rPr>
          <w:rFonts w:ascii="Times New Roman" w:hAnsi="Times New Roman"/>
        </w:rPr>
      </w:pPr>
      <w:r w:rsidRPr="000474B9">
        <w:rPr>
          <w:rFonts w:ascii="Times New Roman" w:hAnsi="Times New Roman"/>
        </w:rPr>
        <w:t>broja korisnika stipendija</w:t>
      </w:r>
    </w:p>
    <w:p w14:paraId="547F786B" w14:textId="77777777" w:rsidR="000D3F32" w:rsidRPr="000474B9" w:rsidRDefault="000D3F32" w:rsidP="000D3F32">
      <w:pPr>
        <w:pStyle w:val="ListParagraph"/>
        <w:numPr>
          <w:ilvl w:val="0"/>
          <w:numId w:val="20"/>
        </w:numPr>
        <w:spacing w:after="0" w:line="240" w:lineRule="auto"/>
        <w:jc w:val="both"/>
        <w:rPr>
          <w:rFonts w:ascii="Times New Roman" w:hAnsi="Times New Roman"/>
        </w:rPr>
      </w:pPr>
      <w:r w:rsidRPr="000474B9">
        <w:rPr>
          <w:rFonts w:ascii="Times New Roman" w:hAnsi="Times New Roman"/>
        </w:rPr>
        <w:t>broj učenika osnovne škole kojima se sufinancira nabava radnih materijala</w:t>
      </w:r>
    </w:p>
    <w:p w14:paraId="2AA99389" w14:textId="77777777" w:rsidR="00C97C6B" w:rsidRPr="00C97C6B" w:rsidRDefault="00C97C6B" w:rsidP="00C97C6B">
      <w:pPr>
        <w:pStyle w:val="ListParagraph"/>
        <w:spacing w:after="0" w:line="240" w:lineRule="auto"/>
        <w:jc w:val="both"/>
        <w:rPr>
          <w:rFonts w:ascii="Times New Roman" w:hAnsi="Times New Roman"/>
        </w:rPr>
      </w:pPr>
    </w:p>
    <w:tbl>
      <w:tblPr>
        <w:tblStyle w:val="TableGrid"/>
        <w:tblW w:w="9060" w:type="dxa"/>
        <w:tblLook w:val="04A0" w:firstRow="1" w:lastRow="0" w:firstColumn="1" w:lastColumn="0" w:noHBand="0" w:noVBand="1"/>
      </w:tblPr>
      <w:tblGrid>
        <w:gridCol w:w="3823"/>
        <w:gridCol w:w="2835"/>
        <w:gridCol w:w="850"/>
        <w:gridCol w:w="1552"/>
      </w:tblGrid>
      <w:tr w:rsidR="002D2682" w:rsidRPr="00180329" w14:paraId="184BEC17" w14:textId="77777777" w:rsidTr="001870D6">
        <w:trPr>
          <w:trHeight w:val="280"/>
        </w:trPr>
        <w:tc>
          <w:tcPr>
            <w:tcW w:w="3823" w:type="dxa"/>
          </w:tcPr>
          <w:p w14:paraId="3516DBF1" w14:textId="77777777" w:rsidR="00157871" w:rsidRPr="00180329" w:rsidRDefault="00157871" w:rsidP="001870D6">
            <w:pPr>
              <w:jc w:val="center"/>
              <w:rPr>
                <w:rFonts w:ascii="Times New Roman" w:hAnsi="Times New Roman"/>
                <w:b/>
                <w:bCs/>
              </w:rPr>
            </w:pPr>
            <w:r w:rsidRPr="00180329">
              <w:rPr>
                <w:rFonts w:ascii="Times New Roman" w:hAnsi="Times New Roman"/>
                <w:b/>
                <w:bCs/>
              </w:rPr>
              <w:t>NAZIV AKTIVNOSTI</w:t>
            </w:r>
          </w:p>
        </w:tc>
        <w:tc>
          <w:tcPr>
            <w:tcW w:w="2835" w:type="dxa"/>
          </w:tcPr>
          <w:p w14:paraId="49006EF0" w14:textId="77777777" w:rsidR="00157871" w:rsidRPr="00180329" w:rsidRDefault="00157871" w:rsidP="001870D6">
            <w:pPr>
              <w:jc w:val="center"/>
              <w:rPr>
                <w:rFonts w:ascii="Times New Roman" w:hAnsi="Times New Roman"/>
                <w:b/>
                <w:bCs/>
              </w:rPr>
            </w:pPr>
            <w:r w:rsidRPr="00180329">
              <w:rPr>
                <w:rFonts w:ascii="Times New Roman" w:hAnsi="Times New Roman"/>
                <w:b/>
                <w:bCs/>
              </w:rPr>
              <w:t>OPIS POKAZATELJA</w:t>
            </w:r>
          </w:p>
        </w:tc>
        <w:tc>
          <w:tcPr>
            <w:tcW w:w="850" w:type="dxa"/>
          </w:tcPr>
          <w:p w14:paraId="30ACC47B" w14:textId="77777777" w:rsidR="00157871" w:rsidRPr="00180329" w:rsidRDefault="00157871" w:rsidP="001870D6">
            <w:pPr>
              <w:jc w:val="center"/>
              <w:rPr>
                <w:rFonts w:ascii="Times New Roman" w:hAnsi="Times New Roman"/>
                <w:b/>
                <w:bCs/>
              </w:rPr>
            </w:pPr>
            <w:r w:rsidRPr="00180329">
              <w:rPr>
                <w:rFonts w:ascii="Times New Roman" w:hAnsi="Times New Roman"/>
                <w:b/>
                <w:bCs/>
              </w:rPr>
              <w:t>PLAN</w:t>
            </w:r>
          </w:p>
        </w:tc>
        <w:tc>
          <w:tcPr>
            <w:tcW w:w="1552" w:type="dxa"/>
          </w:tcPr>
          <w:p w14:paraId="6EFA6D9C" w14:textId="77777777" w:rsidR="00157871" w:rsidRPr="00180329" w:rsidRDefault="00157871" w:rsidP="001870D6">
            <w:pPr>
              <w:jc w:val="center"/>
              <w:rPr>
                <w:rFonts w:ascii="Times New Roman" w:hAnsi="Times New Roman"/>
                <w:b/>
                <w:bCs/>
              </w:rPr>
            </w:pPr>
            <w:r w:rsidRPr="00180329">
              <w:rPr>
                <w:rFonts w:ascii="Times New Roman" w:hAnsi="Times New Roman"/>
                <w:b/>
                <w:bCs/>
              </w:rPr>
              <w:t>IZVRŠENJE</w:t>
            </w:r>
          </w:p>
        </w:tc>
      </w:tr>
      <w:tr w:rsidR="002D2682" w:rsidRPr="00180329" w14:paraId="5A9389F6" w14:textId="77777777" w:rsidTr="001870D6">
        <w:trPr>
          <w:trHeight w:val="280"/>
        </w:trPr>
        <w:tc>
          <w:tcPr>
            <w:tcW w:w="3823" w:type="dxa"/>
            <w:shd w:val="clear" w:color="auto" w:fill="FFFFFF" w:themeFill="background1"/>
          </w:tcPr>
          <w:p w14:paraId="33ACEFEB" w14:textId="77777777" w:rsidR="00157871" w:rsidRPr="00180329" w:rsidRDefault="00157871" w:rsidP="001870D6">
            <w:pPr>
              <w:rPr>
                <w:rFonts w:ascii="Times New Roman" w:hAnsi="Times New Roman"/>
              </w:rPr>
            </w:pPr>
            <w:r w:rsidRPr="00180329">
              <w:rPr>
                <w:rFonts w:ascii="Times New Roman" w:hAnsi="Times New Roman"/>
              </w:rPr>
              <w:t>Stipendiranje učenika i studenata</w:t>
            </w:r>
          </w:p>
        </w:tc>
        <w:tc>
          <w:tcPr>
            <w:tcW w:w="2835" w:type="dxa"/>
            <w:shd w:val="clear" w:color="auto" w:fill="FFFFFF" w:themeFill="background1"/>
          </w:tcPr>
          <w:p w14:paraId="0C7CE1BE" w14:textId="77777777" w:rsidR="00157871" w:rsidRPr="00180329" w:rsidRDefault="00157871" w:rsidP="001870D6">
            <w:pPr>
              <w:rPr>
                <w:rFonts w:ascii="Times New Roman" w:hAnsi="Times New Roman"/>
              </w:rPr>
            </w:pPr>
            <w:r w:rsidRPr="00180329">
              <w:rPr>
                <w:rFonts w:ascii="Times New Roman" w:hAnsi="Times New Roman"/>
              </w:rPr>
              <w:t>Broja korisnika stipendija</w:t>
            </w:r>
          </w:p>
        </w:tc>
        <w:tc>
          <w:tcPr>
            <w:tcW w:w="850" w:type="dxa"/>
            <w:shd w:val="clear" w:color="auto" w:fill="FFFFFF" w:themeFill="background1"/>
          </w:tcPr>
          <w:p w14:paraId="2DECE18F" w14:textId="6B5AF6EC" w:rsidR="00157871" w:rsidRPr="00180329" w:rsidRDefault="0072372A" w:rsidP="001870D6">
            <w:pPr>
              <w:jc w:val="right"/>
              <w:rPr>
                <w:rFonts w:ascii="Times New Roman" w:hAnsi="Times New Roman"/>
              </w:rPr>
            </w:pPr>
            <w:r>
              <w:rPr>
                <w:rFonts w:ascii="Times New Roman" w:hAnsi="Times New Roman"/>
              </w:rPr>
              <w:t>15</w:t>
            </w:r>
          </w:p>
        </w:tc>
        <w:tc>
          <w:tcPr>
            <w:tcW w:w="1552" w:type="dxa"/>
            <w:shd w:val="clear" w:color="auto" w:fill="FFFFFF" w:themeFill="background1"/>
          </w:tcPr>
          <w:p w14:paraId="7395F2E1" w14:textId="35E6A473" w:rsidR="00157871" w:rsidRPr="00180329" w:rsidRDefault="00180329" w:rsidP="001870D6">
            <w:pPr>
              <w:jc w:val="right"/>
              <w:rPr>
                <w:rFonts w:ascii="Times New Roman" w:hAnsi="Times New Roman"/>
              </w:rPr>
            </w:pPr>
            <w:r>
              <w:rPr>
                <w:rFonts w:ascii="Times New Roman" w:hAnsi="Times New Roman"/>
              </w:rPr>
              <w:t>20</w:t>
            </w:r>
          </w:p>
        </w:tc>
      </w:tr>
      <w:tr w:rsidR="002D2682" w:rsidRPr="00180329" w14:paraId="6C91126C" w14:textId="77777777" w:rsidTr="001870D6">
        <w:trPr>
          <w:trHeight w:val="357"/>
        </w:trPr>
        <w:tc>
          <w:tcPr>
            <w:tcW w:w="3823" w:type="dxa"/>
            <w:shd w:val="clear" w:color="auto" w:fill="FFFFFF" w:themeFill="background1"/>
          </w:tcPr>
          <w:p w14:paraId="692095AE" w14:textId="77777777" w:rsidR="00157871" w:rsidRPr="00180329" w:rsidRDefault="00157871" w:rsidP="001870D6">
            <w:pPr>
              <w:rPr>
                <w:rFonts w:ascii="Times New Roman" w:hAnsi="Times New Roman"/>
              </w:rPr>
            </w:pPr>
            <w:r w:rsidRPr="00180329">
              <w:rPr>
                <w:rFonts w:ascii="Times New Roman" w:hAnsi="Times New Roman"/>
              </w:rPr>
              <w:t>Sufinanciranje boravka djece u jaslicama</w:t>
            </w:r>
          </w:p>
        </w:tc>
        <w:tc>
          <w:tcPr>
            <w:tcW w:w="2835" w:type="dxa"/>
            <w:shd w:val="clear" w:color="auto" w:fill="FFFFFF" w:themeFill="background1"/>
          </w:tcPr>
          <w:p w14:paraId="221B22F5" w14:textId="77777777" w:rsidR="00157871" w:rsidRPr="00180329" w:rsidRDefault="00157871" w:rsidP="001870D6">
            <w:pPr>
              <w:rPr>
                <w:rFonts w:ascii="Times New Roman" w:hAnsi="Times New Roman"/>
              </w:rPr>
            </w:pPr>
            <w:r w:rsidRPr="00180329">
              <w:rPr>
                <w:rFonts w:ascii="Times New Roman" w:hAnsi="Times New Roman"/>
              </w:rPr>
              <w:t>Broj polaznika</w:t>
            </w:r>
          </w:p>
        </w:tc>
        <w:tc>
          <w:tcPr>
            <w:tcW w:w="850" w:type="dxa"/>
            <w:shd w:val="clear" w:color="auto" w:fill="FFFFFF" w:themeFill="background1"/>
          </w:tcPr>
          <w:p w14:paraId="0618D651" w14:textId="0DB3F3CB" w:rsidR="00157871" w:rsidRPr="00180329" w:rsidRDefault="00125931" w:rsidP="001870D6">
            <w:pPr>
              <w:jc w:val="right"/>
              <w:rPr>
                <w:rFonts w:ascii="Times New Roman" w:hAnsi="Times New Roman"/>
              </w:rPr>
            </w:pPr>
            <w:r w:rsidRPr="00180329">
              <w:rPr>
                <w:rFonts w:ascii="Times New Roman" w:hAnsi="Times New Roman"/>
              </w:rPr>
              <w:t>3</w:t>
            </w:r>
          </w:p>
        </w:tc>
        <w:tc>
          <w:tcPr>
            <w:tcW w:w="1552" w:type="dxa"/>
            <w:shd w:val="clear" w:color="auto" w:fill="FFFFFF" w:themeFill="background1"/>
          </w:tcPr>
          <w:p w14:paraId="01E29594" w14:textId="61D67E82" w:rsidR="00157871" w:rsidRPr="00180329" w:rsidRDefault="00180329" w:rsidP="001870D6">
            <w:pPr>
              <w:jc w:val="right"/>
              <w:rPr>
                <w:rFonts w:ascii="Times New Roman" w:hAnsi="Times New Roman"/>
              </w:rPr>
            </w:pPr>
            <w:r>
              <w:rPr>
                <w:rFonts w:ascii="Times New Roman" w:hAnsi="Times New Roman"/>
              </w:rPr>
              <w:t>3</w:t>
            </w:r>
          </w:p>
        </w:tc>
      </w:tr>
      <w:tr w:rsidR="002D2682" w:rsidRPr="00180329" w14:paraId="2F7D82A6" w14:textId="77777777" w:rsidTr="001870D6">
        <w:trPr>
          <w:trHeight w:val="357"/>
        </w:trPr>
        <w:tc>
          <w:tcPr>
            <w:tcW w:w="3823" w:type="dxa"/>
            <w:shd w:val="clear" w:color="auto" w:fill="FFFFFF" w:themeFill="background1"/>
          </w:tcPr>
          <w:p w14:paraId="147CBA44" w14:textId="77777777" w:rsidR="00157871" w:rsidRPr="00180329" w:rsidRDefault="00157871" w:rsidP="001870D6">
            <w:pPr>
              <w:rPr>
                <w:rFonts w:ascii="Times New Roman" w:hAnsi="Times New Roman"/>
              </w:rPr>
            </w:pPr>
            <w:r w:rsidRPr="00180329">
              <w:rPr>
                <w:rFonts w:ascii="Times New Roman" w:hAnsi="Times New Roman"/>
              </w:rPr>
              <w:t>Sufinanciranje programa predškolskog odgoja</w:t>
            </w:r>
          </w:p>
        </w:tc>
        <w:tc>
          <w:tcPr>
            <w:tcW w:w="2835" w:type="dxa"/>
            <w:shd w:val="clear" w:color="auto" w:fill="FFFFFF" w:themeFill="background1"/>
          </w:tcPr>
          <w:p w14:paraId="10028505" w14:textId="77777777" w:rsidR="00157871" w:rsidRPr="00180329" w:rsidRDefault="00157871" w:rsidP="001870D6">
            <w:pPr>
              <w:rPr>
                <w:rFonts w:ascii="Times New Roman" w:hAnsi="Times New Roman"/>
              </w:rPr>
            </w:pPr>
            <w:r w:rsidRPr="00180329">
              <w:rPr>
                <w:rFonts w:ascii="Times New Roman" w:hAnsi="Times New Roman"/>
              </w:rPr>
              <w:t>Broj polaznika</w:t>
            </w:r>
          </w:p>
        </w:tc>
        <w:tc>
          <w:tcPr>
            <w:tcW w:w="850" w:type="dxa"/>
            <w:shd w:val="clear" w:color="auto" w:fill="FFFFFF" w:themeFill="background1"/>
          </w:tcPr>
          <w:p w14:paraId="4BB5BAC7" w14:textId="77777777" w:rsidR="00157871" w:rsidRPr="00180329" w:rsidRDefault="00157871" w:rsidP="001870D6">
            <w:pPr>
              <w:jc w:val="right"/>
              <w:rPr>
                <w:rFonts w:ascii="Times New Roman" w:hAnsi="Times New Roman"/>
              </w:rPr>
            </w:pPr>
            <w:r w:rsidRPr="00180329">
              <w:rPr>
                <w:rFonts w:ascii="Times New Roman" w:hAnsi="Times New Roman"/>
              </w:rPr>
              <w:t>20</w:t>
            </w:r>
          </w:p>
        </w:tc>
        <w:tc>
          <w:tcPr>
            <w:tcW w:w="1552" w:type="dxa"/>
            <w:shd w:val="clear" w:color="auto" w:fill="FFFFFF" w:themeFill="background1"/>
          </w:tcPr>
          <w:p w14:paraId="15CB3358" w14:textId="77777777" w:rsidR="00157871" w:rsidRPr="00180329" w:rsidRDefault="00157871" w:rsidP="001870D6">
            <w:pPr>
              <w:jc w:val="right"/>
              <w:rPr>
                <w:rFonts w:ascii="Times New Roman" w:hAnsi="Times New Roman"/>
              </w:rPr>
            </w:pPr>
            <w:r w:rsidRPr="00180329">
              <w:rPr>
                <w:rFonts w:ascii="Times New Roman" w:hAnsi="Times New Roman"/>
              </w:rPr>
              <w:t>20</w:t>
            </w:r>
          </w:p>
        </w:tc>
      </w:tr>
      <w:tr w:rsidR="002D2682" w:rsidRPr="00180329" w14:paraId="13288346" w14:textId="77777777" w:rsidTr="001870D6">
        <w:trPr>
          <w:trHeight w:val="357"/>
        </w:trPr>
        <w:tc>
          <w:tcPr>
            <w:tcW w:w="3823" w:type="dxa"/>
            <w:shd w:val="clear" w:color="auto" w:fill="FFFFFF" w:themeFill="background1"/>
          </w:tcPr>
          <w:p w14:paraId="7D09DF4F" w14:textId="77777777" w:rsidR="00157871" w:rsidRPr="00180329" w:rsidRDefault="00157871" w:rsidP="001870D6">
            <w:pPr>
              <w:rPr>
                <w:rFonts w:ascii="Times New Roman" w:hAnsi="Times New Roman"/>
              </w:rPr>
            </w:pPr>
            <w:r w:rsidRPr="00180329">
              <w:rPr>
                <w:rFonts w:ascii="Times New Roman" w:hAnsi="Times New Roman"/>
              </w:rPr>
              <w:t>Sufinanciranje programa produženog boravka</w:t>
            </w:r>
          </w:p>
        </w:tc>
        <w:tc>
          <w:tcPr>
            <w:tcW w:w="2835" w:type="dxa"/>
            <w:shd w:val="clear" w:color="auto" w:fill="FFFFFF" w:themeFill="background1"/>
          </w:tcPr>
          <w:p w14:paraId="7EC8E510" w14:textId="77777777" w:rsidR="00157871" w:rsidRPr="00180329" w:rsidRDefault="00157871" w:rsidP="001870D6">
            <w:pPr>
              <w:rPr>
                <w:rFonts w:ascii="Times New Roman" w:hAnsi="Times New Roman"/>
              </w:rPr>
            </w:pPr>
            <w:r w:rsidRPr="00180329">
              <w:rPr>
                <w:rFonts w:ascii="Times New Roman" w:hAnsi="Times New Roman"/>
              </w:rPr>
              <w:t>Broj polaznika</w:t>
            </w:r>
          </w:p>
        </w:tc>
        <w:tc>
          <w:tcPr>
            <w:tcW w:w="850" w:type="dxa"/>
            <w:shd w:val="clear" w:color="auto" w:fill="FFFFFF" w:themeFill="background1"/>
          </w:tcPr>
          <w:p w14:paraId="7C089151" w14:textId="2A6212A8" w:rsidR="00157871" w:rsidRPr="00180329" w:rsidRDefault="00B42CB1" w:rsidP="001870D6">
            <w:pPr>
              <w:jc w:val="right"/>
              <w:rPr>
                <w:rFonts w:ascii="Times New Roman" w:hAnsi="Times New Roman"/>
              </w:rPr>
            </w:pPr>
            <w:r>
              <w:rPr>
                <w:rFonts w:ascii="Times New Roman" w:hAnsi="Times New Roman"/>
              </w:rPr>
              <w:t>1</w:t>
            </w:r>
            <w:r w:rsidR="0072372A">
              <w:rPr>
                <w:rFonts w:ascii="Times New Roman" w:hAnsi="Times New Roman"/>
              </w:rPr>
              <w:t>0</w:t>
            </w:r>
          </w:p>
        </w:tc>
        <w:tc>
          <w:tcPr>
            <w:tcW w:w="1552" w:type="dxa"/>
            <w:shd w:val="clear" w:color="auto" w:fill="FFFFFF" w:themeFill="background1"/>
          </w:tcPr>
          <w:p w14:paraId="6FBBD007" w14:textId="68E873D7" w:rsidR="00157871" w:rsidRPr="00180329" w:rsidRDefault="00B42CB1" w:rsidP="001870D6">
            <w:pPr>
              <w:jc w:val="right"/>
              <w:rPr>
                <w:rFonts w:ascii="Times New Roman" w:hAnsi="Times New Roman"/>
              </w:rPr>
            </w:pPr>
            <w:r>
              <w:rPr>
                <w:rFonts w:ascii="Times New Roman" w:hAnsi="Times New Roman"/>
              </w:rPr>
              <w:t>14</w:t>
            </w:r>
          </w:p>
        </w:tc>
      </w:tr>
    </w:tbl>
    <w:p w14:paraId="231D1575" w14:textId="77777777" w:rsidR="000D3F32" w:rsidRDefault="000D3F32" w:rsidP="00157871">
      <w:pPr>
        <w:spacing w:after="0" w:line="240" w:lineRule="auto"/>
        <w:jc w:val="both"/>
        <w:rPr>
          <w:rFonts w:ascii="Times New Roman" w:hAnsi="Times New Roman"/>
          <w:sz w:val="24"/>
          <w:szCs w:val="24"/>
        </w:rPr>
      </w:pPr>
    </w:p>
    <w:p w14:paraId="65F39F9F" w14:textId="77777777" w:rsidR="00D545F8" w:rsidRDefault="00D545F8" w:rsidP="00F27B64">
      <w:pPr>
        <w:spacing w:after="0" w:line="240" w:lineRule="auto"/>
        <w:jc w:val="both"/>
        <w:rPr>
          <w:rFonts w:ascii="Times New Roman" w:hAnsi="Times New Roman"/>
          <w:b/>
          <w:bCs/>
        </w:rPr>
      </w:pPr>
    </w:p>
    <w:p w14:paraId="7B15DD4B" w14:textId="77777777" w:rsidR="00466023" w:rsidRDefault="00466023" w:rsidP="00466023">
      <w:pPr>
        <w:pStyle w:val="Heading5"/>
        <w:spacing w:before="0" w:line="240" w:lineRule="auto"/>
        <w:ind w:right="139"/>
        <w:jc w:val="center"/>
        <w:rPr>
          <w:rFonts w:ascii="Times New Roman" w:hAnsi="Times New Roman" w:cs="Times New Roman"/>
          <w:b/>
          <w:color w:val="auto"/>
          <w:w w:val="115"/>
        </w:rPr>
      </w:pPr>
    </w:p>
    <w:p w14:paraId="10D7754B" w14:textId="0C5792BF" w:rsidR="00466023" w:rsidRPr="007A1751" w:rsidRDefault="00466023" w:rsidP="00466023">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t>Program 1014</w:t>
      </w:r>
      <w:r w:rsidRPr="007A1751">
        <w:rPr>
          <w:rFonts w:ascii="Times New Roman" w:hAnsi="Times New Roman" w:cs="Times New Roman"/>
          <w:b/>
          <w:color w:val="auto"/>
          <w:w w:val="115"/>
        </w:rPr>
        <w:t xml:space="preserve">: </w:t>
      </w:r>
      <w:r>
        <w:rPr>
          <w:rFonts w:ascii="Times New Roman" w:hAnsi="Times New Roman" w:cs="Times New Roman"/>
          <w:b/>
          <w:color w:val="auto"/>
          <w:w w:val="115"/>
        </w:rPr>
        <w:t>JAVNE POTREBE U KULTURI I RELIGIJI I Program 1013</w:t>
      </w:r>
      <w:r w:rsidRPr="007A1751">
        <w:rPr>
          <w:rFonts w:ascii="Times New Roman" w:hAnsi="Times New Roman" w:cs="Times New Roman"/>
          <w:b/>
          <w:color w:val="auto"/>
          <w:w w:val="115"/>
        </w:rPr>
        <w:t xml:space="preserve">: </w:t>
      </w:r>
      <w:r>
        <w:rPr>
          <w:rFonts w:ascii="Times New Roman" w:hAnsi="Times New Roman" w:cs="Times New Roman"/>
          <w:b/>
          <w:color w:val="auto"/>
          <w:w w:val="115"/>
        </w:rPr>
        <w:t>RAZVOJ SPORTA I REKREACIJE</w:t>
      </w:r>
    </w:p>
    <w:p w14:paraId="2DC85FF4" w14:textId="77777777" w:rsidR="00466023" w:rsidRDefault="00466023" w:rsidP="00F27B64">
      <w:pPr>
        <w:spacing w:after="0" w:line="240" w:lineRule="auto"/>
        <w:jc w:val="both"/>
        <w:rPr>
          <w:rFonts w:ascii="Times New Roman" w:hAnsi="Times New Roman"/>
          <w:b/>
          <w:bCs/>
        </w:rPr>
      </w:pPr>
    </w:p>
    <w:p w14:paraId="3466DD35"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U 2025. godini Program javnih potreba u kulturi, religiji i sportu realiziran je u iznosu od </w:t>
      </w:r>
      <w:r w:rsidRPr="00466023">
        <w:rPr>
          <w:rFonts w:ascii="Times New Roman" w:hAnsi="Times New Roman"/>
          <w:b/>
          <w:bCs/>
        </w:rPr>
        <w:t>166.504,42 EUR</w:t>
      </w:r>
      <w:r w:rsidRPr="00466023">
        <w:rPr>
          <w:rFonts w:ascii="Times New Roman" w:hAnsi="Times New Roman"/>
        </w:rPr>
        <w:t xml:space="preserve">. </w:t>
      </w:r>
    </w:p>
    <w:p w14:paraId="6940FFDC" w14:textId="77777777" w:rsidR="00466023" w:rsidRPr="00466023" w:rsidRDefault="00466023" w:rsidP="00466023">
      <w:pPr>
        <w:spacing w:after="0" w:line="240" w:lineRule="auto"/>
        <w:jc w:val="both"/>
        <w:rPr>
          <w:rFonts w:ascii="Times New Roman" w:hAnsi="Times New Roman"/>
        </w:rPr>
      </w:pPr>
    </w:p>
    <w:p w14:paraId="7DA4914E"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Iznos od 11.100,00 EUR odnosi se na aktivnost </w:t>
      </w:r>
      <w:r w:rsidRPr="00466023">
        <w:rPr>
          <w:rFonts w:ascii="Times New Roman" w:hAnsi="Times New Roman"/>
          <w:i/>
          <w:iCs/>
        </w:rPr>
        <w:t>Poticanja sportsko rekreativnih aktivnosti</w:t>
      </w:r>
      <w:r w:rsidRPr="00466023">
        <w:rPr>
          <w:rFonts w:ascii="Times New Roman" w:hAnsi="Times New Roman"/>
        </w:rPr>
        <w:t>, odnosno na sufinanciranje rada Nogometnog kluba Livade u iznosu od 7.500,00 EUR, te sufinanciranje rada Nogometnog kluba Grožnjan - Oprtalj u iznosu od 3.500,00 EUR. Navedena su sredstva dodijeljena na temelju sklopljenih Ugovora o dodjeli financijskih sredstava za financiranje programa / projekata udruga iz Proračuna Općine Oprtalj - Portole za 2025. godinu temeljem provedenog Javnog poziva.</w:t>
      </w:r>
    </w:p>
    <w:p w14:paraId="2D675D3D" w14:textId="77777777" w:rsidR="00466023" w:rsidRPr="00466023" w:rsidRDefault="00466023" w:rsidP="00466023">
      <w:pPr>
        <w:spacing w:after="0" w:line="240" w:lineRule="auto"/>
        <w:jc w:val="both"/>
        <w:rPr>
          <w:rFonts w:ascii="Times New Roman" w:hAnsi="Times New Roman"/>
          <w:color w:val="FF0000"/>
        </w:rPr>
      </w:pPr>
    </w:p>
    <w:p w14:paraId="7170C965"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Na aktivnost </w:t>
      </w:r>
      <w:r w:rsidRPr="00466023">
        <w:rPr>
          <w:rFonts w:ascii="Times New Roman" w:hAnsi="Times New Roman"/>
          <w:i/>
          <w:iCs/>
        </w:rPr>
        <w:t>Obnova travnjaka na nogometnom igralištu u Livadama</w:t>
      </w:r>
      <w:r w:rsidRPr="00466023">
        <w:rPr>
          <w:rFonts w:ascii="Times New Roman" w:hAnsi="Times New Roman"/>
        </w:rPr>
        <w:t xml:space="preserve"> utrošeno je u 2025. godini 195,51 EUR. Navedeni iznos utrošen je na materijal za održavanje igrališta.</w:t>
      </w:r>
    </w:p>
    <w:p w14:paraId="0EEB1889" w14:textId="77777777" w:rsidR="00466023" w:rsidRPr="00466023" w:rsidRDefault="00466023" w:rsidP="00466023">
      <w:pPr>
        <w:spacing w:after="0" w:line="240" w:lineRule="auto"/>
        <w:jc w:val="both"/>
        <w:rPr>
          <w:rFonts w:ascii="Times New Roman" w:hAnsi="Times New Roman"/>
          <w:color w:val="FF0000"/>
        </w:rPr>
      </w:pPr>
    </w:p>
    <w:p w14:paraId="6C190886"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Na aktivnost </w:t>
      </w:r>
      <w:r w:rsidRPr="00466023">
        <w:rPr>
          <w:rFonts w:ascii="Times New Roman" w:hAnsi="Times New Roman"/>
          <w:i/>
          <w:iCs/>
        </w:rPr>
        <w:t>Održavanja sakralnih objekata</w:t>
      </w:r>
      <w:r w:rsidRPr="00466023">
        <w:rPr>
          <w:rFonts w:ascii="Times New Roman" w:hAnsi="Times New Roman"/>
        </w:rPr>
        <w:t xml:space="preserve"> na području Općine Oprtalj - Portole u 2025. godini utrošeno je 13.273,73 EUR. Navedeni se iznos odnosi na nabavu potrebnih materijala za farbanje kapelica u Oprtlju i Zrenju te farbanje crkve u Zrenju. Iznos od 3.300,00 EUR odnosi se na uklanjanje vegetcije na zvoniku u Zrenju te postavljanju iglica protiv golubova. </w:t>
      </w:r>
    </w:p>
    <w:p w14:paraId="1768E4D5"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Sredstva su također utrošena na pjeskarenju križa u naselju Škofi, izrada priključka za struju u crkvi sv. Antuna u Gradinjama, te na izradi i montaži rolo komarnika u crkvi u sv. Ivanu. Iznos od 562,50 EUR odnosi se na uslugu samohodne platforme potrebne za farbanje crkve u Zrenju, a preostali iznos od 2.214,25 EUR odnosi se na najam skele i farbanje crkve sv. Cecilije u Oprtlju.</w:t>
      </w:r>
    </w:p>
    <w:p w14:paraId="2E1F8570" w14:textId="77777777" w:rsidR="00466023" w:rsidRPr="00466023" w:rsidRDefault="00466023" w:rsidP="00466023">
      <w:pPr>
        <w:spacing w:after="0" w:line="240" w:lineRule="auto"/>
        <w:jc w:val="both"/>
        <w:rPr>
          <w:rFonts w:ascii="Times New Roman" w:hAnsi="Times New Roman"/>
          <w:color w:val="FF0000"/>
        </w:rPr>
      </w:pPr>
    </w:p>
    <w:p w14:paraId="0A4EED29"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Na aktivnost </w:t>
      </w:r>
      <w:r w:rsidRPr="00466023">
        <w:rPr>
          <w:rFonts w:ascii="Times New Roman" w:hAnsi="Times New Roman"/>
          <w:i/>
          <w:iCs/>
        </w:rPr>
        <w:t>Financiranje programa i projekata u kulturi</w:t>
      </w:r>
      <w:r w:rsidRPr="00466023">
        <w:rPr>
          <w:rFonts w:ascii="Times New Roman" w:hAnsi="Times New Roman"/>
        </w:rPr>
        <w:t xml:space="preserve"> na području Općine Oprtalj - Portole u 2025. godini utrošeno je 12.000,00 EUR. Iznos od 7.250,00 EUR odnosi na isplatu sredstava Turističkoj zajednici Općine Oprtalj, te preostali iznos od 2.000,00 EUR namijenjen je Zajednici talijana Gradinje – Livade, 2.000,00 EUR udruzi Pod Kostanjom i 750,00 EUR dobrovoljnom vatrogasnom društvu Oprtalj, sve temeljem sklopljenih Ugovora o dodjeli financijskih sredstava za financiranje programa / projekata udruga iz Proračuna Općine Oprtalj - Portole za 2025. godinu.</w:t>
      </w:r>
    </w:p>
    <w:p w14:paraId="10ECFEB6" w14:textId="77777777" w:rsidR="00466023" w:rsidRPr="00466023" w:rsidRDefault="00466023" w:rsidP="00466023">
      <w:pPr>
        <w:spacing w:after="0" w:line="240" w:lineRule="auto"/>
        <w:jc w:val="both"/>
        <w:rPr>
          <w:rFonts w:ascii="Times New Roman" w:hAnsi="Times New Roman"/>
          <w:color w:val="FF0000"/>
        </w:rPr>
      </w:pPr>
    </w:p>
    <w:p w14:paraId="6EF44429"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lastRenderedPageBreak/>
        <w:t xml:space="preserve">U 2025. godini utrošena su sredstva sukladno potpisanom </w:t>
      </w:r>
      <w:r w:rsidRPr="00466023">
        <w:rPr>
          <w:rFonts w:ascii="Times New Roman" w:hAnsi="Times New Roman"/>
          <w:bCs/>
          <w:i/>
          <w:iCs/>
        </w:rPr>
        <w:t>Sporazumu o suradnji na promicanju dvojezičnosti i očuvanja talijanskog jezika na području Istarske županije</w:t>
      </w:r>
      <w:r w:rsidRPr="00466023">
        <w:rPr>
          <w:rFonts w:ascii="Times New Roman" w:hAnsi="Times New Roman"/>
        </w:rPr>
        <w:t xml:space="preserve"> u iznosu od 700,00 EUR. Sporazum je potpisan između Istarske županije i dvojezičnih Gradova i Općina 30. listopada 2020. godine za promicanje dvojezičnosti i očuvanje talijanskog jezika na području Istarske županije i sufinanciranje zajedničkih aktivnosti u periodu od 2021. do 2023. godine, isti je obnovljen 2024. godine.</w:t>
      </w:r>
    </w:p>
    <w:p w14:paraId="2BE7D401" w14:textId="77777777" w:rsidR="00466023" w:rsidRPr="00466023" w:rsidRDefault="00466023" w:rsidP="00466023">
      <w:pPr>
        <w:spacing w:after="0" w:line="240" w:lineRule="auto"/>
        <w:jc w:val="both"/>
        <w:rPr>
          <w:rFonts w:ascii="Times New Roman" w:hAnsi="Times New Roman"/>
          <w:b/>
          <w:bCs/>
          <w:i/>
          <w:iCs/>
          <w:color w:val="FF0000"/>
        </w:rPr>
      </w:pPr>
    </w:p>
    <w:p w14:paraId="77BCEE9F"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bCs/>
          <w:i/>
          <w:iCs/>
        </w:rPr>
        <w:t>Za rad muzeja „Parenzana“</w:t>
      </w:r>
      <w:r w:rsidRPr="00466023">
        <w:rPr>
          <w:rFonts w:ascii="Times New Roman" w:hAnsi="Times New Roman"/>
        </w:rPr>
        <w:t xml:space="preserve"> planirana su sredstva u iznosu od 3.539,92 EUR, kao naknada za rad u muzeju tijekom ljetnog razdoblja.</w:t>
      </w:r>
    </w:p>
    <w:p w14:paraId="261B35CF" w14:textId="77777777" w:rsidR="00466023" w:rsidRPr="00466023" w:rsidRDefault="00466023" w:rsidP="00466023">
      <w:pPr>
        <w:spacing w:after="0" w:line="240" w:lineRule="auto"/>
        <w:jc w:val="both"/>
        <w:rPr>
          <w:rFonts w:ascii="Times New Roman" w:hAnsi="Times New Roman"/>
        </w:rPr>
      </w:pPr>
    </w:p>
    <w:p w14:paraId="7CEC1D56"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U 2025. godini utrošena su sredstva u iznosu od 8.750,00 EUR za projekt </w:t>
      </w:r>
      <w:r w:rsidRPr="00466023">
        <w:rPr>
          <w:rFonts w:ascii="Times New Roman" w:hAnsi="Times New Roman"/>
          <w:bCs/>
          <w:i/>
          <w:iCs/>
        </w:rPr>
        <w:t>„Muzej seoba i stradanja museos u Oprtlju“.</w:t>
      </w:r>
      <w:r w:rsidRPr="00466023">
        <w:rPr>
          <w:rFonts w:ascii="Times New Roman" w:hAnsi="Times New Roman"/>
        </w:rPr>
        <w:t xml:space="preserve"> Radi se o tematiziranju jedne od karakteristika krajeva uz koje prolaze granice, odnosno migracije kroz stoljeća koje su se redovito događale i u Istri. Radi se o inicijativi osmišljenoj s Istarskom županijom za revitalizaciju stare oprtaljske jezgre. Navedena su sredstva utrošena na geodetsko katastarskim uslugama te uklanjanju vegetacije na kamenim zidovima sklopa ruševina gdje se planira realizacija muzeja.</w:t>
      </w:r>
    </w:p>
    <w:p w14:paraId="092E75F7" w14:textId="77777777" w:rsidR="00466023" w:rsidRPr="00466023" w:rsidRDefault="00466023" w:rsidP="00466023">
      <w:pPr>
        <w:spacing w:after="0" w:line="240" w:lineRule="auto"/>
        <w:jc w:val="both"/>
        <w:rPr>
          <w:rFonts w:ascii="Times New Roman" w:hAnsi="Times New Roman"/>
        </w:rPr>
      </w:pPr>
    </w:p>
    <w:p w14:paraId="567032CF"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bCs/>
          <w:i/>
          <w:iCs/>
        </w:rPr>
        <w:t>Za Projekt „Mali umjetnici područja Oprtalj – Portole“</w:t>
      </w:r>
      <w:r w:rsidRPr="00466023">
        <w:rPr>
          <w:rFonts w:ascii="Times New Roman" w:hAnsi="Times New Roman"/>
        </w:rPr>
        <w:t xml:space="preserve"> u 2025. godini utrošena su sredstva u iznosu od 1.800,00 EUR. Sredstva su realizirana od strane Zaklade „Hrvatska za djecu” .</w:t>
      </w:r>
    </w:p>
    <w:p w14:paraId="295A243D"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Provedba projekta odvijat će se u intervalima, povezano s ključnim lokalnim kulturnim manifestacijama ,a radionice će se održavat jednokratno i periodično u terminima raspoređenih tijekom 2025./2026.godine.</w:t>
      </w:r>
    </w:p>
    <w:p w14:paraId="022D075D"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Svrha projekta jest omogućit djeci predškolske i školske dobi kvalitetno i sadržajno korištenje slobodnog vremena kroz izvanškolske kulturne, umjetničke i kreativne radionice koje potiču njihov osobni razvoj, stvaraju osjećaj pripadnosti zajednici te ih uključuju u očuvanje i prenošenje lokalne baštine. U 2025. godini organizirane su tri radionice.</w:t>
      </w:r>
    </w:p>
    <w:p w14:paraId="14802E0A" w14:textId="77777777" w:rsidR="00466023" w:rsidRPr="00466023" w:rsidRDefault="00466023" w:rsidP="00466023">
      <w:pPr>
        <w:spacing w:after="0" w:line="240" w:lineRule="auto"/>
        <w:jc w:val="both"/>
        <w:rPr>
          <w:rFonts w:ascii="Times New Roman" w:hAnsi="Times New Roman"/>
          <w:color w:val="FF0000"/>
        </w:rPr>
      </w:pPr>
    </w:p>
    <w:p w14:paraId="1472F268"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 xml:space="preserve">U 2025. godini utrošena su sredstva za aktivnost </w:t>
      </w:r>
      <w:r w:rsidRPr="00466023">
        <w:rPr>
          <w:rFonts w:ascii="Times New Roman" w:hAnsi="Times New Roman"/>
          <w:bCs/>
          <w:i/>
          <w:iCs/>
        </w:rPr>
        <w:t xml:space="preserve">„Manifestacije od značaja za područje općine“ </w:t>
      </w:r>
      <w:r w:rsidRPr="00466023">
        <w:rPr>
          <w:rFonts w:ascii="Times New Roman" w:hAnsi="Times New Roman"/>
        </w:rPr>
        <w:t>u iznosu od 25.010,97 EUR. Navedena su sredstva planirana većim dijelom za razne troškove održavanja manifestacije Kestenijada i Tuberfoodfest.</w:t>
      </w:r>
    </w:p>
    <w:p w14:paraId="18CA2FD0" w14:textId="77777777" w:rsidR="00466023" w:rsidRPr="00466023" w:rsidRDefault="00466023" w:rsidP="00466023">
      <w:pPr>
        <w:spacing w:after="0" w:line="240" w:lineRule="auto"/>
        <w:jc w:val="both"/>
        <w:rPr>
          <w:rFonts w:ascii="Times New Roman" w:hAnsi="Times New Roman"/>
          <w:color w:val="FF0000"/>
        </w:rPr>
      </w:pPr>
    </w:p>
    <w:p w14:paraId="1F99029A" w14:textId="77777777" w:rsidR="00466023" w:rsidRPr="00466023" w:rsidRDefault="00466023" w:rsidP="00466023">
      <w:pPr>
        <w:spacing w:after="0" w:line="240" w:lineRule="auto"/>
        <w:jc w:val="both"/>
        <w:rPr>
          <w:rFonts w:ascii="Times New Roman" w:hAnsi="Times New Roman"/>
        </w:rPr>
      </w:pPr>
      <w:r w:rsidRPr="00466023">
        <w:rPr>
          <w:rFonts w:ascii="Times New Roman" w:hAnsi="Times New Roman"/>
        </w:rPr>
        <w:t>U 2025. godini utrošena su sredstva u iznosu od 2.976,80 EUR za pomoć župi sv. Jurja u Oprtlju i to za servis orgulja te rekonstrukciju premještanje sviraonika u crkvi sv. Jurja.</w:t>
      </w:r>
    </w:p>
    <w:p w14:paraId="5FD8E30E" w14:textId="77777777" w:rsidR="00C841F5" w:rsidRPr="00466023" w:rsidRDefault="00C841F5" w:rsidP="007244BC">
      <w:pPr>
        <w:spacing w:after="0" w:line="240" w:lineRule="auto"/>
        <w:ind w:right="-2"/>
        <w:jc w:val="both"/>
        <w:rPr>
          <w:rFonts w:ascii="Times New Roman" w:hAnsi="Times New Roman"/>
        </w:rPr>
      </w:pPr>
    </w:p>
    <w:p w14:paraId="1E8B8C2B" w14:textId="77777777" w:rsidR="00C841F5" w:rsidRPr="00466023" w:rsidRDefault="00C841F5" w:rsidP="007244BC">
      <w:pPr>
        <w:spacing w:after="0" w:line="240" w:lineRule="auto"/>
        <w:ind w:right="-2"/>
        <w:jc w:val="both"/>
        <w:rPr>
          <w:rFonts w:ascii="Times New Roman" w:hAnsi="Times New Roman"/>
        </w:rPr>
      </w:pPr>
      <w:r w:rsidRPr="00466023">
        <w:rPr>
          <w:rFonts w:ascii="Times New Roman" w:hAnsi="Times New Roman"/>
          <w:b/>
          <w:bCs/>
        </w:rPr>
        <w:t>Pokazatelji uspješnosti:</w:t>
      </w:r>
    </w:p>
    <w:p w14:paraId="6A8D1FAA" w14:textId="77777777" w:rsidR="00C841F5" w:rsidRDefault="00C841F5" w:rsidP="00C841F5">
      <w:pPr>
        <w:pStyle w:val="ListParagraph"/>
        <w:numPr>
          <w:ilvl w:val="0"/>
          <w:numId w:val="22"/>
        </w:numPr>
        <w:spacing w:after="0" w:line="240" w:lineRule="auto"/>
        <w:ind w:right="-2"/>
        <w:jc w:val="both"/>
        <w:rPr>
          <w:rFonts w:ascii="Times New Roman" w:hAnsi="Times New Roman"/>
        </w:rPr>
      </w:pPr>
      <w:r w:rsidRPr="00C841F5">
        <w:rPr>
          <w:rFonts w:ascii="Times New Roman" w:hAnsi="Times New Roman"/>
        </w:rPr>
        <w:t>broj financiranih projekata u kulturi</w:t>
      </w:r>
    </w:p>
    <w:p w14:paraId="4304B8FD" w14:textId="77777777" w:rsidR="00C841F5" w:rsidRDefault="00C841F5" w:rsidP="00C841F5">
      <w:pPr>
        <w:pStyle w:val="ListParagraph"/>
        <w:numPr>
          <w:ilvl w:val="0"/>
          <w:numId w:val="22"/>
        </w:numPr>
        <w:spacing w:after="0" w:line="240" w:lineRule="auto"/>
        <w:ind w:right="-2"/>
        <w:jc w:val="both"/>
        <w:rPr>
          <w:rFonts w:ascii="Times New Roman" w:hAnsi="Times New Roman"/>
        </w:rPr>
      </w:pPr>
      <w:r w:rsidRPr="00C841F5">
        <w:rPr>
          <w:rFonts w:ascii="Times New Roman" w:hAnsi="Times New Roman"/>
        </w:rPr>
        <w:t xml:space="preserve">broj članova u Zajednici sportskih udruga </w:t>
      </w:r>
      <w:r>
        <w:rPr>
          <w:rFonts w:ascii="Times New Roman" w:hAnsi="Times New Roman"/>
        </w:rPr>
        <w:t>Općine Oprtalj</w:t>
      </w:r>
    </w:p>
    <w:p w14:paraId="2739A1E5" w14:textId="77777777" w:rsidR="00C841F5" w:rsidRDefault="00C841F5" w:rsidP="00C841F5">
      <w:pPr>
        <w:pStyle w:val="ListParagraph"/>
        <w:numPr>
          <w:ilvl w:val="0"/>
          <w:numId w:val="22"/>
        </w:numPr>
        <w:spacing w:after="0" w:line="240" w:lineRule="auto"/>
        <w:ind w:right="-2"/>
        <w:jc w:val="both"/>
        <w:rPr>
          <w:rFonts w:ascii="Times New Roman" w:hAnsi="Times New Roman"/>
        </w:rPr>
      </w:pPr>
      <w:r w:rsidRPr="00C841F5">
        <w:rPr>
          <w:rFonts w:ascii="Times New Roman" w:hAnsi="Times New Roman"/>
        </w:rPr>
        <w:t xml:space="preserve">broj </w:t>
      </w:r>
      <w:r>
        <w:rPr>
          <w:rFonts w:ascii="Times New Roman" w:hAnsi="Times New Roman"/>
        </w:rPr>
        <w:t>saniranih sakralnih objekata</w:t>
      </w:r>
    </w:p>
    <w:p w14:paraId="69049BD1" w14:textId="77777777" w:rsidR="00C841F5" w:rsidRDefault="00D63FC8" w:rsidP="00C841F5">
      <w:pPr>
        <w:pStyle w:val="ListParagraph"/>
        <w:numPr>
          <w:ilvl w:val="0"/>
          <w:numId w:val="22"/>
        </w:numPr>
        <w:spacing w:after="0" w:line="240" w:lineRule="auto"/>
        <w:ind w:right="-2"/>
        <w:jc w:val="both"/>
        <w:rPr>
          <w:rFonts w:ascii="Times New Roman" w:hAnsi="Times New Roman"/>
        </w:rPr>
      </w:pPr>
      <w:r>
        <w:rPr>
          <w:rFonts w:ascii="Times New Roman" w:hAnsi="Times New Roman"/>
        </w:rPr>
        <w:t>broj posjetitelja muzeju</w:t>
      </w:r>
    </w:p>
    <w:p w14:paraId="72B14EC8" w14:textId="77777777" w:rsidR="000D3F32" w:rsidRDefault="000D3F32" w:rsidP="00C841F5">
      <w:pPr>
        <w:spacing w:after="0" w:line="240" w:lineRule="auto"/>
        <w:ind w:right="-2"/>
        <w:jc w:val="both"/>
        <w:rPr>
          <w:rFonts w:ascii="Times New Roman" w:hAnsi="Times New Roman"/>
        </w:rPr>
      </w:pPr>
    </w:p>
    <w:tbl>
      <w:tblPr>
        <w:tblStyle w:val="TableGrid"/>
        <w:tblW w:w="9052" w:type="dxa"/>
        <w:tblLook w:val="04A0" w:firstRow="1" w:lastRow="0" w:firstColumn="1" w:lastColumn="0" w:noHBand="0" w:noVBand="1"/>
      </w:tblPr>
      <w:tblGrid>
        <w:gridCol w:w="3114"/>
        <w:gridCol w:w="3402"/>
        <w:gridCol w:w="992"/>
        <w:gridCol w:w="1544"/>
      </w:tblGrid>
      <w:tr w:rsidR="002D2682" w:rsidRPr="008B0115" w14:paraId="6CBAC658" w14:textId="77777777" w:rsidTr="001870D6">
        <w:trPr>
          <w:trHeight w:val="357"/>
        </w:trPr>
        <w:tc>
          <w:tcPr>
            <w:tcW w:w="3114" w:type="dxa"/>
          </w:tcPr>
          <w:p w14:paraId="2D24D6D3" w14:textId="77777777" w:rsidR="00157871" w:rsidRPr="008B0115" w:rsidRDefault="00157871" w:rsidP="001870D6">
            <w:pPr>
              <w:jc w:val="center"/>
              <w:rPr>
                <w:rFonts w:ascii="Times New Roman" w:hAnsi="Times New Roman"/>
                <w:b/>
                <w:bCs/>
              </w:rPr>
            </w:pPr>
            <w:r w:rsidRPr="008B0115">
              <w:rPr>
                <w:rFonts w:ascii="Times New Roman" w:hAnsi="Times New Roman"/>
                <w:b/>
                <w:bCs/>
              </w:rPr>
              <w:t>NAZIV AKTIVNOSTI</w:t>
            </w:r>
          </w:p>
        </w:tc>
        <w:tc>
          <w:tcPr>
            <w:tcW w:w="3402" w:type="dxa"/>
          </w:tcPr>
          <w:p w14:paraId="79523A62" w14:textId="77777777" w:rsidR="00157871" w:rsidRPr="008B0115" w:rsidRDefault="00157871" w:rsidP="001870D6">
            <w:pPr>
              <w:jc w:val="center"/>
              <w:rPr>
                <w:rFonts w:ascii="Times New Roman" w:hAnsi="Times New Roman"/>
                <w:b/>
                <w:bCs/>
              </w:rPr>
            </w:pPr>
            <w:r w:rsidRPr="008B0115">
              <w:rPr>
                <w:rFonts w:ascii="Times New Roman" w:hAnsi="Times New Roman"/>
                <w:b/>
                <w:bCs/>
              </w:rPr>
              <w:t>OPIS POKAZATELJA</w:t>
            </w:r>
          </w:p>
        </w:tc>
        <w:tc>
          <w:tcPr>
            <w:tcW w:w="992" w:type="dxa"/>
          </w:tcPr>
          <w:p w14:paraId="6296CAB8" w14:textId="77777777" w:rsidR="00157871" w:rsidRPr="008B0115" w:rsidRDefault="00157871" w:rsidP="001870D6">
            <w:pPr>
              <w:jc w:val="center"/>
              <w:rPr>
                <w:rFonts w:ascii="Times New Roman" w:hAnsi="Times New Roman"/>
                <w:b/>
                <w:bCs/>
              </w:rPr>
            </w:pPr>
            <w:r w:rsidRPr="008B0115">
              <w:rPr>
                <w:rFonts w:ascii="Times New Roman" w:hAnsi="Times New Roman"/>
                <w:b/>
                <w:bCs/>
              </w:rPr>
              <w:t>PLAN</w:t>
            </w:r>
          </w:p>
        </w:tc>
        <w:tc>
          <w:tcPr>
            <w:tcW w:w="1544" w:type="dxa"/>
          </w:tcPr>
          <w:p w14:paraId="4DEBDE44" w14:textId="77777777" w:rsidR="00157871" w:rsidRPr="008B0115" w:rsidRDefault="00157871" w:rsidP="001870D6">
            <w:pPr>
              <w:jc w:val="center"/>
              <w:rPr>
                <w:rFonts w:ascii="Times New Roman" w:hAnsi="Times New Roman"/>
                <w:b/>
                <w:bCs/>
              </w:rPr>
            </w:pPr>
            <w:r w:rsidRPr="008B0115">
              <w:rPr>
                <w:rFonts w:ascii="Times New Roman" w:hAnsi="Times New Roman"/>
                <w:b/>
                <w:bCs/>
              </w:rPr>
              <w:t>IZVRŠENJE</w:t>
            </w:r>
          </w:p>
        </w:tc>
      </w:tr>
      <w:tr w:rsidR="002D2682" w:rsidRPr="008B0115" w14:paraId="38DBD7AA" w14:textId="77777777" w:rsidTr="001870D6">
        <w:trPr>
          <w:trHeight w:val="357"/>
        </w:trPr>
        <w:tc>
          <w:tcPr>
            <w:tcW w:w="3114" w:type="dxa"/>
            <w:shd w:val="clear" w:color="auto" w:fill="FFFFFF" w:themeFill="background1"/>
          </w:tcPr>
          <w:p w14:paraId="54581088"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Financiranje udruga sportskog sadržaja</w:t>
            </w:r>
          </w:p>
        </w:tc>
        <w:tc>
          <w:tcPr>
            <w:tcW w:w="3402" w:type="dxa"/>
            <w:shd w:val="clear" w:color="auto" w:fill="FFFFFF" w:themeFill="background1"/>
          </w:tcPr>
          <w:p w14:paraId="517F2745"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Broj članova u Zajednici sportskih udruga Općine Oprtalj</w:t>
            </w:r>
          </w:p>
        </w:tc>
        <w:tc>
          <w:tcPr>
            <w:tcW w:w="992" w:type="dxa"/>
            <w:shd w:val="clear" w:color="auto" w:fill="FFFFFF" w:themeFill="background1"/>
          </w:tcPr>
          <w:p w14:paraId="16125132"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2</w:t>
            </w:r>
          </w:p>
        </w:tc>
        <w:tc>
          <w:tcPr>
            <w:tcW w:w="1544" w:type="dxa"/>
            <w:shd w:val="clear" w:color="auto" w:fill="FFFFFF" w:themeFill="background1"/>
          </w:tcPr>
          <w:p w14:paraId="57C19772"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2</w:t>
            </w:r>
          </w:p>
        </w:tc>
      </w:tr>
      <w:tr w:rsidR="002D2682" w:rsidRPr="008B0115" w14:paraId="020CB770" w14:textId="77777777" w:rsidTr="001870D6">
        <w:trPr>
          <w:trHeight w:val="357"/>
        </w:trPr>
        <w:tc>
          <w:tcPr>
            <w:tcW w:w="3114" w:type="dxa"/>
            <w:shd w:val="clear" w:color="auto" w:fill="FFFFFF" w:themeFill="background1"/>
          </w:tcPr>
          <w:p w14:paraId="64ED7A22"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Financiranje projekata u kulturi</w:t>
            </w:r>
          </w:p>
        </w:tc>
        <w:tc>
          <w:tcPr>
            <w:tcW w:w="3402" w:type="dxa"/>
            <w:shd w:val="clear" w:color="auto" w:fill="FFFFFF" w:themeFill="background1"/>
          </w:tcPr>
          <w:p w14:paraId="05736157"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Broj financiranih projekata</w:t>
            </w:r>
          </w:p>
        </w:tc>
        <w:tc>
          <w:tcPr>
            <w:tcW w:w="992" w:type="dxa"/>
            <w:shd w:val="clear" w:color="auto" w:fill="FFFFFF" w:themeFill="background1"/>
          </w:tcPr>
          <w:p w14:paraId="366A0B2A"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3</w:t>
            </w:r>
          </w:p>
        </w:tc>
        <w:tc>
          <w:tcPr>
            <w:tcW w:w="1544" w:type="dxa"/>
            <w:shd w:val="clear" w:color="auto" w:fill="FFFFFF" w:themeFill="background1"/>
          </w:tcPr>
          <w:p w14:paraId="1D3B2BD1"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3</w:t>
            </w:r>
          </w:p>
        </w:tc>
      </w:tr>
      <w:tr w:rsidR="002D2682" w:rsidRPr="008B0115" w14:paraId="04B52B09" w14:textId="77777777" w:rsidTr="001870D6">
        <w:trPr>
          <w:trHeight w:val="357"/>
        </w:trPr>
        <w:tc>
          <w:tcPr>
            <w:tcW w:w="3114" w:type="dxa"/>
            <w:shd w:val="clear" w:color="auto" w:fill="FFFFFF" w:themeFill="background1"/>
          </w:tcPr>
          <w:p w14:paraId="3CE5F43E"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Održavanje sakralnih objekata</w:t>
            </w:r>
          </w:p>
        </w:tc>
        <w:tc>
          <w:tcPr>
            <w:tcW w:w="3402" w:type="dxa"/>
            <w:shd w:val="clear" w:color="auto" w:fill="FFFFFF" w:themeFill="background1"/>
          </w:tcPr>
          <w:p w14:paraId="5CD7BCF9"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Broj saniranih sakralnih objekata</w:t>
            </w:r>
          </w:p>
        </w:tc>
        <w:tc>
          <w:tcPr>
            <w:tcW w:w="992" w:type="dxa"/>
            <w:shd w:val="clear" w:color="auto" w:fill="FFFFFF" w:themeFill="background1"/>
          </w:tcPr>
          <w:p w14:paraId="5B79941E"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2</w:t>
            </w:r>
          </w:p>
        </w:tc>
        <w:tc>
          <w:tcPr>
            <w:tcW w:w="1544" w:type="dxa"/>
            <w:shd w:val="clear" w:color="auto" w:fill="FFFFFF" w:themeFill="background1"/>
          </w:tcPr>
          <w:p w14:paraId="62341FCF" w14:textId="3881B9EB" w:rsidR="00157871" w:rsidRPr="008B0115" w:rsidRDefault="002D2682" w:rsidP="001870D6">
            <w:pPr>
              <w:shd w:val="clear" w:color="auto" w:fill="FFFFFF" w:themeFill="background1"/>
              <w:jc w:val="right"/>
              <w:rPr>
                <w:rFonts w:ascii="Times New Roman" w:hAnsi="Times New Roman"/>
              </w:rPr>
            </w:pPr>
            <w:r w:rsidRPr="008B0115">
              <w:rPr>
                <w:rFonts w:ascii="Times New Roman" w:hAnsi="Times New Roman"/>
              </w:rPr>
              <w:t>2</w:t>
            </w:r>
          </w:p>
        </w:tc>
      </w:tr>
      <w:tr w:rsidR="002D2682" w:rsidRPr="008B0115" w14:paraId="5AC72D09" w14:textId="77777777" w:rsidTr="001870D6">
        <w:trPr>
          <w:trHeight w:val="357"/>
        </w:trPr>
        <w:tc>
          <w:tcPr>
            <w:tcW w:w="3114" w:type="dxa"/>
            <w:shd w:val="clear" w:color="auto" w:fill="FFFFFF" w:themeFill="background1"/>
          </w:tcPr>
          <w:p w14:paraId="35409BC9"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Financiranje rada muzeja</w:t>
            </w:r>
          </w:p>
        </w:tc>
        <w:tc>
          <w:tcPr>
            <w:tcW w:w="3402" w:type="dxa"/>
            <w:shd w:val="clear" w:color="auto" w:fill="FFFFFF" w:themeFill="background1"/>
          </w:tcPr>
          <w:p w14:paraId="0AA54B9C" w14:textId="77777777" w:rsidR="00157871" w:rsidRPr="008B0115" w:rsidRDefault="00157871" w:rsidP="001870D6">
            <w:pPr>
              <w:shd w:val="clear" w:color="auto" w:fill="FFFFFF" w:themeFill="background1"/>
              <w:rPr>
                <w:rFonts w:ascii="Times New Roman" w:hAnsi="Times New Roman"/>
              </w:rPr>
            </w:pPr>
            <w:r w:rsidRPr="008B0115">
              <w:rPr>
                <w:rFonts w:ascii="Times New Roman" w:hAnsi="Times New Roman"/>
              </w:rPr>
              <w:t>Broj posjetitelja</w:t>
            </w:r>
          </w:p>
        </w:tc>
        <w:tc>
          <w:tcPr>
            <w:tcW w:w="992" w:type="dxa"/>
            <w:shd w:val="clear" w:color="auto" w:fill="FFFFFF" w:themeFill="background1"/>
          </w:tcPr>
          <w:p w14:paraId="02524E22" w14:textId="77777777" w:rsidR="00157871" w:rsidRPr="008B0115" w:rsidRDefault="00157871" w:rsidP="001870D6">
            <w:pPr>
              <w:shd w:val="clear" w:color="auto" w:fill="FFFFFF" w:themeFill="background1"/>
              <w:jc w:val="right"/>
              <w:rPr>
                <w:rFonts w:ascii="Times New Roman" w:hAnsi="Times New Roman"/>
              </w:rPr>
            </w:pPr>
            <w:r w:rsidRPr="008B0115">
              <w:rPr>
                <w:rFonts w:ascii="Times New Roman" w:hAnsi="Times New Roman"/>
              </w:rPr>
              <w:t>100</w:t>
            </w:r>
          </w:p>
        </w:tc>
        <w:tc>
          <w:tcPr>
            <w:tcW w:w="1544" w:type="dxa"/>
            <w:shd w:val="clear" w:color="auto" w:fill="FFFFFF" w:themeFill="background1"/>
          </w:tcPr>
          <w:p w14:paraId="2A8C1325" w14:textId="5266A636" w:rsidR="00157871" w:rsidRPr="008B0115" w:rsidRDefault="002D2682" w:rsidP="001870D6">
            <w:pPr>
              <w:shd w:val="clear" w:color="auto" w:fill="FFFFFF" w:themeFill="background1"/>
              <w:jc w:val="right"/>
              <w:rPr>
                <w:rFonts w:ascii="Times New Roman" w:hAnsi="Times New Roman"/>
              </w:rPr>
            </w:pPr>
            <w:r w:rsidRPr="008B0115">
              <w:rPr>
                <w:rFonts w:ascii="Times New Roman" w:hAnsi="Times New Roman"/>
              </w:rPr>
              <w:t>65</w:t>
            </w:r>
          </w:p>
        </w:tc>
      </w:tr>
    </w:tbl>
    <w:p w14:paraId="18982500" w14:textId="77777777" w:rsidR="00C841F5" w:rsidRPr="00C841F5" w:rsidRDefault="00C841F5" w:rsidP="00C841F5">
      <w:pPr>
        <w:spacing w:after="0" w:line="240" w:lineRule="auto"/>
        <w:ind w:right="-2"/>
        <w:jc w:val="both"/>
        <w:rPr>
          <w:rFonts w:ascii="Times New Roman" w:hAnsi="Times New Roman"/>
        </w:rPr>
      </w:pPr>
    </w:p>
    <w:p w14:paraId="0BDBEF5A" w14:textId="77777777" w:rsidR="00D545F8" w:rsidRDefault="00D545F8" w:rsidP="00D545F8">
      <w:pPr>
        <w:spacing w:after="0" w:line="240" w:lineRule="auto"/>
        <w:ind w:right="-2"/>
        <w:jc w:val="both"/>
        <w:rPr>
          <w:rFonts w:ascii="Times New Roman" w:hAnsi="Times New Roman"/>
        </w:rPr>
      </w:pPr>
    </w:p>
    <w:p w14:paraId="2B14A155" w14:textId="77777777" w:rsidR="00AE5B93" w:rsidRDefault="00AE5B93" w:rsidP="00D545F8">
      <w:pPr>
        <w:spacing w:after="0" w:line="240" w:lineRule="auto"/>
        <w:ind w:right="-2"/>
        <w:jc w:val="both"/>
        <w:rPr>
          <w:rFonts w:ascii="Times New Roman" w:hAnsi="Times New Roman"/>
        </w:rPr>
      </w:pPr>
    </w:p>
    <w:p w14:paraId="517E1404" w14:textId="77777777" w:rsidR="00AE5B93" w:rsidRDefault="00AE5B93" w:rsidP="00D545F8">
      <w:pPr>
        <w:spacing w:after="0" w:line="240" w:lineRule="auto"/>
        <w:ind w:right="-2"/>
        <w:jc w:val="both"/>
        <w:rPr>
          <w:rFonts w:ascii="Times New Roman" w:hAnsi="Times New Roman"/>
        </w:rPr>
      </w:pPr>
    </w:p>
    <w:p w14:paraId="6CD2CAFF" w14:textId="77777777" w:rsidR="00AE5B93" w:rsidRDefault="00AE5B93" w:rsidP="00D545F8">
      <w:pPr>
        <w:spacing w:after="0" w:line="240" w:lineRule="auto"/>
        <w:ind w:right="-2"/>
        <w:jc w:val="both"/>
        <w:rPr>
          <w:rFonts w:ascii="Times New Roman" w:hAnsi="Times New Roman"/>
        </w:rPr>
      </w:pPr>
    </w:p>
    <w:p w14:paraId="6DC287E7" w14:textId="77777777" w:rsidR="00AE5B93" w:rsidRDefault="00AE5B93" w:rsidP="00D545F8">
      <w:pPr>
        <w:spacing w:after="0" w:line="240" w:lineRule="auto"/>
        <w:ind w:right="-2"/>
        <w:jc w:val="both"/>
        <w:rPr>
          <w:rFonts w:ascii="Times New Roman" w:hAnsi="Times New Roman"/>
        </w:rPr>
      </w:pPr>
    </w:p>
    <w:p w14:paraId="5AE49F14" w14:textId="77777777" w:rsidR="00AE5B93" w:rsidRDefault="00AE5B93" w:rsidP="00D545F8">
      <w:pPr>
        <w:spacing w:after="0" w:line="240" w:lineRule="auto"/>
        <w:ind w:right="-2"/>
        <w:jc w:val="both"/>
        <w:rPr>
          <w:rFonts w:ascii="Times New Roman" w:hAnsi="Times New Roman"/>
        </w:rPr>
      </w:pPr>
    </w:p>
    <w:p w14:paraId="0FB7AD57" w14:textId="77777777" w:rsidR="00AE5B93" w:rsidRDefault="00AE5B93" w:rsidP="00D545F8">
      <w:pPr>
        <w:spacing w:after="0" w:line="240" w:lineRule="auto"/>
        <w:ind w:right="-2"/>
        <w:jc w:val="both"/>
        <w:rPr>
          <w:rFonts w:ascii="Times New Roman" w:hAnsi="Times New Roman"/>
        </w:rPr>
      </w:pPr>
    </w:p>
    <w:p w14:paraId="4DA62FED" w14:textId="4692BF45" w:rsidR="00AE5B93" w:rsidRPr="007A1751" w:rsidRDefault="00AE5B93" w:rsidP="00AE5B93">
      <w:pPr>
        <w:pStyle w:val="Heading5"/>
        <w:spacing w:before="0" w:line="240" w:lineRule="auto"/>
        <w:ind w:right="139"/>
        <w:jc w:val="center"/>
        <w:rPr>
          <w:rFonts w:ascii="Times New Roman" w:hAnsi="Times New Roman" w:cs="Times New Roman"/>
          <w:b/>
          <w:color w:val="auto"/>
        </w:rPr>
      </w:pPr>
      <w:r>
        <w:rPr>
          <w:rFonts w:ascii="Times New Roman" w:hAnsi="Times New Roman" w:cs="Times New Roman"/>
          <w:b/>
          <w:color w:val="auto"/>
          <w:w w:val="115"/>
        </w:rPr>
        <w:lastRenderedPageBreak/>
        <w:t>Program 1012</w:t>
      </w:r>
      <w:r w:rsidRPr="007A1751">
        <w:rPr>
          <w:rFonts w:ascii="Times New Roman" w:hAnsi="Times New Roman" w:cs="Times New Roman"/>
          <w:b/>
          <w:color w:val="auto"/>
          <w:w w:val="115"/>
        </w:rPr>
        <w:t xml:space="preserve">: </w:t>
      </w:r>
      <w:r>
        <w:rPr>
          <w:rFonts w:ascii="Times New Roman" w:hAnsi="Times New Roman" w:cs="Times New Roman"/>
          <w:b/>
          <w:color w:val="auto"/>
          <w:w w:val="115"/>
        </w:rPr>
        <w:t>DODATNE USLUGE U ZDRAVSTVO I PREVENTIVA I Program 1011</w:t>
      </w:r>
      <w:r w:rsidRPr="007A1751">
        <w:rPr>
          <w:rFonts w:ascii="Times New Roman" w:hAnsi="Times New Roman" w:cs="Times New Roman"/>
          <w:b/>
          <w:color w:val="auto"/>
          <w:w w:val="115"/>
        </w:rPr>
        <w:t xml:space="preserve">: </w:t>
      </w:r>
      <w:r>
        <w:rPr>
          <w:rFonts w:ascii="Times New Roman" w:hAnsi="Times New Roman" w:cs="Times New Roman"/>
          <w:b/>
          <w:color w:val="auto"/>
          <w:w w:val="115"/>
        </w:rPr>
        <w:t>SOCIJALNA SKRB I NOVČANA POMOĆ</w:t>
      </w:r>
    </w:p>
    <w:p w14:paraId="1481ABBD" w14:textId="77777777" w:rsidR="00AE5B93" w:rsidRPr="00F27B64" w:rsidRDefault="00AE5B93" w:rsidP="00D545F8">
      <w:pPr>
        <w:spacing w:after="0" w:line="240" w:lineRule="auto"/>
        <w:ind w:right="-2"/>
        <w:jc w:val="both"/>
        <w:rPr>
          <w:rFonts w:ascii="Times New Roman" w:hAnsi="Times New Roman"/>
        </w:rPr>
      </w:pPr>
    </w:p>
    <w:p w14:paraId="0F79FADC" w14:textId="77777777" w:rsidR="00D545F8" w:rsidRPr="00AE5B93" w:rsidRDefault="00D545F8" w:rsidP="00D545F8">
      <w:pPr>
        <w:spacing w:after="0" w:line="240" w:lineRule="auto"/>
        <w:ind w:right="-2"/>
        <w:jc w:val="both"/>
        <w:rPr>
          <w:rFonts w:ascii="Times New Roman" w:hAnsi="Times New Roman"/>
        </w:rPr>
      </w:pPr>
      <w:r w:rsidRPr="00F27B64">
        <w:rPr>
          <w:rFonts w:ascii="Times New Roman" w:hAnsi="Times New Roman"/>
          <w:b/>
          <w:bCs/>
        </w:rPr>
        <w:t>Program „Socijalne skrbi i novčane pomoći“</w:t>
      </w:r>
      <w:r w:rsidRPr="00F27B64">
        <w:rPr>
          <w:rFonts w:ascii="Times New Roman" w:hAnsi="Times New Roman"/>
        </w:rPr>
        <w:t xml:space="preserve"> provodi se radi osiguranja socijalne pomoći za socijalno najugroženije i najranjivije skupine građana Općine Oprtalj. Radi se o građanima koji ostvaruju pravo na pomoć prema kriterijima utvrđenima u Socijalnom programu Općine Oprtalj. Program</w:t>
      </w:r>
      <w:r w:rsidRPr="007244BC">
        <w:rPr>
          <w:rFonts w:ascii="Times New Roman" w:hAnsi="Times New Roman"/>
        </w:rPr>
        <w:t xml:space="preserve"> </w:t>
      </w:r>
      <w:r w:rsidRPr="00AE5B93">
        <w:rPr>
          <w:rFonts w:ascii="Times New Roman" w:hAnsi="Times New Roman"/>
        </w:rPr>
        <w:t>podrazumijeva pružanje pomoći za podmirenje troškova stanovanja, pomoć za nabavu ogrijeva, pomoć za opremu novorođenčadi i slično.</w:t>
      </w:r>
    </w:p>
    <w:p w14:paraId="1FD02AFF" w14:textId="77777777" w:rsidR="00FF6513" w:rsidRPr="00AE5B93" w:rsidRDefault="00FF6513" w:rsidP="005D74B7">
      <w:pPr>
        <w:pStyle w:val="Default"/>
        <w:jc w:val="both"/>
        <w:rPr>
          <w:rFonts w:ascii="Times New Roman" w:hAnsi="Times New Roman" w:cs="Times New Roman"/>
          <w:b/>
          <w:color w:val="auto"/>
          <w:sz w:val="22"/>
          <w:szCs w:val="22"/>
        </w:rPr>
      </w:pPr>
    </w:p>
    <w:p w14:paraId="4DB28B88"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U 2025. godini Program javnih potreba u području socijalne skrbi i zdravstva realiziran je u iznosu od </w:t>
      </w:r>
      <w:r w:rsidRPr="00AE5B93">
        <w:rPr>
          <w:rFonts w:ascii="Times New Roman" w:hAnsi="Times New Roman"/>
          <w:b/>
          <w:bCs/>
        </w:rPr>
        <w:t>21.902,62 EUR</w:t>
      </w:r>
      <w:r w:rsidRPr="00AE5B93">
        <w:rPr>
          <w:rFonts w:ascii="Times New Roman" w:hAnsi="Times New Roman"/>
        </w:rPr>
        <w:t xml:space="preserve">. </w:t>
      </w:r>
    </w:p>
    <w:p w14:paraId="559FCD0D" w14:textId="77777777" w:rsidR="00AE5B93" w:rsidRPr="00AE5B93" w:rsidRDefault="00AE5B93" w:rsidP="00AE5B93">
      <w:pPr>
        <w:spacing w:after="0" w:line="240" w:lineRule="auto"/>
        <w:jc w:val="both"/>
        <w:rPr>
          <w:rFonts w:ascii="Times New Roman" w:hAnsi="Times New Roman"/>
        </w:rPr>
      </w:pPr>
    </w:p>
    <w:p w14:paraId="6E8A5418"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Na aktivnost </w:t>
      </w:r>
      <w:r w:rsidRPr="00AE5B93">
        <w:rPr>
          <w:rFonts w:ascii="Times New Roman" w:hAnsi="Times New Roman"/>
          <w:i/>
          <w:iCs/>
        </w:rPr>
        <w:t>Poticanje demografske obnove stanovništva</w:t>
      </w:r>
      <w:r w:rsidRPr="00AE5B93">
        <w:rPr>
          <w:rFonts w:ascii="Times New Roman" w:hAnsi="Times New Roman"/>
        </w:rPr>
        <w:t xml:space="preserve"> u 2025. godini utrošeno je 3.000,00 EUR. Isplaćena je jedna naknada roditeljima za novorođeno dijete s prebivalištem na području Općine Oprtalj – Portole u pojedinačnom iznosu od 500,00 EUR za ukupno šestero novorođene djece na našem području.</w:t>
      </w:r>
    </w:p>
    <w:p w14:paraId="4BC91DE5" w14:textId="77777777" w:rsidR="00AE5B93" w:rsidRPr="00AE5B93" w:rsidRDefault="00AE5B93" w:rsidP="00AE5B93">
      <w:pPr>
        <w:spacing w:after="0" w:line="240" w:lineRule="auto"/>
        <w:jc w:val="both"/>
        <w:rPr>
          <w:rFonts w:ascii="Times New Roman" w:hAnsi="Times New Roman"/>
          <w:color w:val="FF0000"/>
        </w:rPr>
      </w:pPr>
    </w:p>
    <w:p w14:paraId="7D8CB9B9"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U 2025. godini na aktivnost </w:t>
      </w:r>
      <w:r w:rsidRPr="00AE5B93">
        <w:rPr>
          <w:rFonts w:ascii="Times New Roman" w:hAnsi="Times New Roman"/>
          <w:i/>
          <w:iCs/>
        </w:rPr>
        <w:t>Humanitarna djelatnost Crvenog križa</w:t>
      </w:r>
      <w:r w:rsidRPr="00AE5B93">
        <w:rPr>
          <w:rFonts w:ascii="Times New Roman" w:hAnsi="Times New Roman"/>
        </w:rPr>
        <w:t xml:space="preserve"> su utrošena sredstva za podmirenje zakonske obveze prema Hrvatskom Crvenom križu u iznosu od 3.610,24 EUR.</w:t>
      </w:r>
    </w:p>
    <w:p w14:paraId="1ABDDEC0" w14:textId="77777777" w:rsidR="00AE5B93" w:rsidRPr="00AE5B93" w:rsidRDefault="00AE5B93" w:rsidP="00AE5B93">
      <w:pPr>
        <w:spacing w:after="0" w:line="240" w:lineRule="auto"/>
        <w:jc w:val="both"/>
        <w:rPr>
          <w:rFonts w:ascii="Times New Roman" w:hAnsi="Times New Roman"/>
          <w:color w:val="FF0000"/>
        </w:rPr>
      </w:pPr>
    </w:p>
    <w:p w14:paraId="01173F00"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U 2025. godini iznos od 3.826,46 EUR utrošen je za provedbu aktivnosti </w:t>
      </w:r>
      <w:r w:rsidRPr="00AE5B93">
        <w:rPr>
          <w:rFonts w:ascii="Times New Roman" w:hAnsi="Times New Roman"/>
          <w:i/>
          <w:iCs/>
        </w:rPr>
        <w:t xml:space="preserve">„Pomoć u kući na Bujštini“. </w:t>
      </w:r>
      <w:r w:rsidRPr="00AE5B93">
        <w:rPr>
          <w:rFonts w:ascii="Times New Roman" w:hAnsi="Times New Roman"/>
        </w:rPr>
        <w:t>Navedeni projekt ostvaruje se već treću godinu u suradnji s Gradskim društvom Crvenog križa Buje.</w:t>
      </w:r>
      <w:bookmarkStart w:id="2" w:name="_Hlk62733987"/>
      <w:r w:rsidRPr="00AE5B93">
        <w:rPr>
          <w:rFonts w:ascii="Times New Roman" w:hAnsi="Times New Roman"/>
        </w:rPr>
        <w:t xml:space="preserve"> </w:t>
      </w:r>
    </w:p>
    <w:bookmarkEnd w:id="2"/>
    <w:p w14:paraId="73D88EE8" w14:textId="77777777" w:rsidR="00AE5B93" w:rsidRPr="00AE5B93" w:rsidRDefault="00AE5B93" w:rsidP="00AE5B93">
      <w:pPr>
        <w:spacing w:after="0" w:line="240" w:lineRule="auto"/>
        <w:jc w:val="both"/>
        <w:rPr>
          <w:rFonts w:ascii="Times New Roman" w:hAnsi="Times New Roman"/>
          <w:color w:val="FF0000"/>
        </w:rPr>
      </w:pPr>
    </w:p>
    <w:p w14:paraId="55EF450E" w14:textId="77777777" w:rsidR="00AE5B93" w:rsidRPr="00AE5B93" w:rsidRDefault="00AE5B93" w:rsidP="00AE5B93">
      <w:pPr>
        <w:spacing w:after="0" w:line="240" w:lineRule="auto"/>
        <w:jc w:val="both"/>
        <w:rPr>
          <w:rFonts w:ascii="Times New Roman" w:hAnsi="Times New Roman"/>
        </w:rPr>
      </w:pPr>
      <w:r w:rsidRPr="001B3970">
        <w:rPr>
          <w:rFonts w:ascii="Times New Roman" w:hAnsi="Times New Roman"/>
        </w:rPr>
        <w:t xml:space="preserve">U prosincu 2024. godine umirovljenicima s područja Općine Oprtalj – Portole dodijeljen je jednokratni višenamjenski kupon u pojedinačnoj vrijednosti od 20,00 EUR koji se mogao iskoristiti do 28. veljače 2025. godine za kupnju količina robe primjernih za kućanstvo, što ukupno iznosi 4.000,00 EUR. </w:t>
      </w:r>
      <w:r w:rsidRPr="00AE5B93">
        <w:rPr>
          <w:rFonts w:ascii="Times New Roman" w:hAnsi="Times New Roman"/>
        </w:rPr>
        <w:t xml:space="preserve">Aktivnost </w:t>
      </w:r>
      <w:r w:rsidRPr="00AE5B93">
        <w:rPr>
          <w:rFonts w:ascii="Times New Roman" w:hAnsi="Times New Roman"/>
          <w:i/>
          <w:iCs/>
        </w:rPr>
        <w:t>Pomoć obiteljima – dodjela višenamjenskog kupona</w:t>
      </w:r>
      <w:r w:rsidRPr="00AE5B93">
        <w:rPr>
          <w:rFonts w:ascii="Times New Roman" w:hAnsi="Times New Roman"/>
        </w:rPr>
        <w:t xml:space="preserve"> realizirana je temeljem Odluke o socijalnoj skrbi („Službene novine Općine Oprtalj – Portole“ broj 13/21.), i pojedinačne Odluke Općinskog vijeća.</w:t>
      </w:r>
    </w:p>
    <w:p w14:paraId="57390952" w14:textId="77777777" w:rsidR="00AE5B93" w:rsidRPr="00AE5B93" w:rsidRDefault="00AE5B93" w:rsidP="00AE5B93">
      <w:pPr>
        <w:spacing w:after="0" w:line="240" w:lineRule="auto"/>
        <w:jc w:val="both"/>
        <w:rPr>
          <w:rFonts w:ascii="Times New Roman" w:hAnsi="Times New Roman"/>
        </w:rPr>
      </w:pPr>
    </w:p>
    <w:p w14:paraId="42276375"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Na aktivnost </w:t>
      </w:r>
      <w:r w:rsidRPr="00AE5B93">
        <w:rPr>
          <w:rFonts w:ascii="Times New Roman" w:hAnsi="Times New Roman"/>
          <w:i/>
          <w:iCs/>
        </w:rPr>
        <w:t>Preventivni pregledi i savjetovanje</w:t>
      </w:r>
      <w:r w:rsidRPr="00AE5B93">
        <w:rPr>
          <w:rFonts w:ascii="Times New Roman" w:hAnsi="Times New Roman"/>
        </w:rPr>
        <w:t xml:space="preserve"> utrošen je iznos od 256,30 EUR za godišnje sistematske preglede zaposlenika, te na aciju mjerenja tlaka i šećera građanima na području općine.</w:t>
      </w:r>
    </w:p>
    <w:p w14:paraId="7C1F6315" w14:textId="77777777" w:rsidR="00AE5B93" w:rsidRPr="00AE5B93" w:rsidRDefault="00AE5B93" w:rsidP="00AE5B93">
      <w:pPr>
        <w:spacing w:after="0" w:line="240" w:lineRule="auto"/>
        <w:jc w:val="both"/>
        <w:rPr>
          <w:rFonts w:ascii="Times New Roman" w:hAnsi="Times New Roman"/>
          <w:color w:val="FF0000"/>
        </w:rPr>
      </w:pPr>
    </w:p>
    <w:p w14:paraId="5B2905D4"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Iznos od 2.494,00 EUR utrošen je na aktivnost </w:t>
      </w:r>
      <w:r w:rsidRPr="00AE5B93">
        <w:rPr>
          <w:rFonts w:ascii="Times New Roman" w:hAnsi="Times New Roman"/>
          <w:i/>
          <w:iCs/>
        </w:rPr>
        <w:t>Sufinanciranje zdravstvene zaštite zbog povećanog broja turista</w:t>
      </w:r>
      <w:r w:rsidRPr="00AE5B93">
        <w:rPr>
          <w:rFonts w:ascii="Times New Roman" w:hAnsi="Times New Roman"/>
        </w:rPr>
        <w:t xml:space="preserve"> za pokrivanje troška dodatnih timova hitne medicinske pomoći na području Istarske županije za vrijeme turističke sezone.</w:t>
      </w:r>
    </w:p>
    <w:p w14:paraId="4FD170C1" w14:textId="77777777" w:rsidR="00AE5B93" w:rsidRPr="00AE5B93" w:rsidRDefault="00AE5B93" w:rsidP="00AE5B93">
      <w:pPr>
        <w:spacing w:after="0" w:line="240" w:lineRule="auto"/>
        <w:jc w:val="both"/>
        <w:rPr>
          <w:rFonts w:ascii="Times New Roman" w:hAnsi="Times New Roman"/>
          <w:color w:val="FF0000"/>
        </w:rPr>
      </w:pPr>
    </w:p>
    <w:p w14:paraId="30DF74AE" w14:textId="77777777" w:rsidR="00AE5B93" w:rsidRPr="00AE5B93" w:rsidRDefault="00AE5B93" w:rsidP="00AE5B93">
      <w:pPr>
        <w:autoSpaceDE w:val="0"/>
        <w:autoSpaceDN w:val="0"/>
        <w:adjustRightInd w:val="0"/>
        <w:spacing w:after="0" w:line="240" w:lineRule="auto"/>
        <w:jc w:val="both"/>
        <w:rPr>
          <w:rFonts w:ascii="Times New Roman" w:hAnsi="Times New Roman"/>
        </w:rPr>
      </w:pPr>
      <w:r w:rsidRPr="00AE5B93">
        <w:rPr>
          <w:rFonts w:ascii="Times New Roman" w:hAnsi="Times New Roman"/>
        </w:rPr>
        <w:t xml:space="preserve">Za aktivnost </w:t>
      </w:r>
      <w:r w:rsidRPr="00AE5B93">
        <w:rPr>
          <w:rFonts w:ascii="Times New Roman" w:hAnsi="Times New Roman"/>
          <w:i/>
          <w:iCs/>
        </w:rPr>
        <w:t xml:space="preserve">Sufinanciranje rekonstrukcije odijela dječje rehabilitacije u specijalnoj bolnici ta ortopediju i rehabilitaciju „Martin Horvat“ Rovinj </w:t>
      </w:r>
      <w:r w:rsidRPr="00AE5B93">
        <w:rPr>
          <w:rFonts w:ascii="Times New Roman" w:hAnsi="Times New Roman"/>
        </w:rPr>
        <w:t>utrošena su sredstva u 2025. godini u iznosu od 604,28 EUR. Navedena je obveza definirana Ugovorom o sufinanciranju dijela kreditne obveze za rekonstrukciju odjela dječje rehabilitacije u Specijalnoj bolnici za ortopediju i rehabilitaciju „Martin Horvat“ Rovinj – Rovigno, zajedno sa ostalim jedinicama lokalne samouprave, te Istarskom županijom.</w:t>
      </w:r>
    </w:p>
    <w:p w14:paraId="078C0584" w14:textId="77777777" w:rsidR="00AE5B93" w:rsidRPr="00AE5B93" w:rsidRDefault="00AE5B93" w:rsidP="00AE5B93">
      <w:pPr>
        <w:autoSpaceDE w:val="0"/>
        <w:autoSpaceDN w:val="0"/>
        <w:adjustRightInd w:val="0"/>
        <w:spacing w:after="0" w:line="240" w:lineRule="auto"/>
        <w:jc w:val="both"/>
        <w:rPr>
          <w:rFonts w:ascii="Times New Roman" w:hAnsi="Times New Roman"/>
        </w:rPr>
      </w:pPr>
    </w:p>
    <w:p w14:paraId="21BC4550" w14:textId="77777777" w:rsidR="00AE5B93" w:rsidRPr="00AE5B93" w:rsidRDefault="00AE5B93" w:rsidP="00AE5B93">
      <w:pPr>
        <w:spacing w:after="0" w:line="240" w:lineRule="auto"/>
        <w:jc w:val="both"/>
        <w:rPr>
          <w:rFonts w:ascii="Times New Roman" w:hAnsi="Times New Roman"/>
        </w:rPr>
      </w:pPr>
      <w:r w:rsidRPr="00AE5B93">
        <w:rPr>
          <w:rFonts w:ascii="Times New Roman" w:hAnsi="Times New Roman"/>
        </w:rPr>
        <w:t xml:space="preserve">U 2025. godini utrošena su sredstva i za </w:t>
      </w:r>
      <w:r w:rsidRPr="00AE5B93">
        <w:rPr>
          <w:rFonts w:ascii="Times New Roman" w:hAnsi="Times New Roman"/>
          <w:bCs/>
          <w:i/>
          <w:iCs/>
        </w:rPr>
        <w:t>Sufinanciranje nabave defibrilatora u naselju</w:t>
      </w:r>
      <w:r w:rsidRPr="00AE5B93">
        <w:rPr>
          <w:rFonts w:ascii="Times New Roman" w:hAnsi="Times New Roman"/>
        </w:rPr>
        <w:t xml:space="preserve"> Livade u iznosu od 1.904,75 EUR, te </w:t>
      </w:r>
      <w:r w:rsidRPr="00AE5B93">
        <w:rPr>
          <w:rFonts w:ascii="Times New Roman" w:hAnsi="Times New Roman"/>
          <w:bCs/>
          <w:i/>
          <w:iCs/>
        </w:rPr>
        <w:t>Sufinanciranje troškova zdravstvenih specijalista</w:t>
      </w:r>
      <w:r w:rsidRPr="00AE5B93">
        <w:rPr>
          <w:rFonts w:ascii="Times New Roman" w:hAnsi="Times New Roman"/>
        </w:rPr>
        <w:t xml:space="preserve"> u iznosu od 1.500,00 EUR.</w:t>
      </w:r>
    </w:p>
    <w:p w14:paraId="4EBBD5EB" w14:textId="77777777" w:rsidR="00AE5B93" w:rsidRPr="00AE5B93" w:rsidRDefault="00AE5B93" w:rsidP="00AE5B93">
      <w:pPr>
        <w:autoSpaceDE w:val="0"/>
        <w:autoSpaceDN w:val="0"/>
        <w:adjustRightInd w:val="0"/>
        <w:spacing w:after="0" w:line="240" w:lineRule="auto"/>
        <w:jc w:val="both"/>
        <w:rPr>
          <w:rFonts w:ascii="Times New Roman" w:hAnsi="Times New Roman"/>
          <w:color w:val="FF0000"/>
        </w:rPr>
      </w:pPr>
    </w:p>
    <w:p w14:paraId="3A8DA169" w14:textId="77777777" w:rsidR="00974169" w:rsidRPr="00974169" w:rsidRDefault="00974169" w:rsidP="00974169">
      <w:pPr>
        <w:spacing w:after="0" w:line="240" w:lineRule="auto"/>
        <w:ind w:right="-1"/>
        <w:jc w:val="both"/>
        <w:rPr>
          <w:rFonts w:ascii="Times New Roman" w:hAnsi="Times New Roman"/>
        </w:rPr>
      </w:pPr>
      <w:r w:rsidRPr="00974169">
        <w:rPr>
          <w:rFonts w:ascii="Times New Roman" w:hAnsi="Times New Roman"/>
          <w:b/>
        </w:rPr>
        <w:t xml:space="preserve">Cilj:  </w:t>
      </w:r>
      <w:r w:rsidRPr="00974169">
        <w:rPr>
          <w:rFonts w:ascii="Times New Roman" w:hAnsi="Times New Roman"/>
        </w:rPr>
        <w:t>razvoj sustava socijalne skrbi u Oprtlju, kroz financiranje raznih oblika socijalnih pomoći i usluga socijalno ugroženim osobama, osobama s financijskim i/ili zdravstvenim poteškoćama, umirovljenicima slabijeg imovnog stanja te financiranje nataliteta.</w:t>
      </w:r>
    </w:p>
    <w:p w14:paraId="66760605" w14:textId="77777777" w:rsidR="00974169" w:rsidRDefault="00974169" w:rsidP="00974169">
      <w:pPr>
        <w:pStyle w:val="Default"/>
        <w:jc w:val="both"/>
        <w:rPr>
          <w:rFonts w:ascii="Times New Roman" w:hAnsi="Times New Roman" w:cs="Times New Roman"/>
          <w:b/>
          <w:bCs/>
          <w:sz w:val="22"/>
          <w:szCs w:val="22"/>
        </w:rPr>
      </w:pPr>
    </w:p>
    <w:p w14:paraId="58D1D597" w14:textId="77777777" w:rsidR="00974169" w:rsidRPr="009F2AFB" w:rsidRDefault="00974169" w:rsidP="00EE07C5">
      <w:pPr>
        <w:pStyle w:val="Default"/>
        <w:jc w:val="both"/>
        <w:rPr>
          <w:rFonts w:ascii="Times New Roman" w:hAnsi="Times New Roman" w:cs="Times New Roman"/>
          <w:b/>
          <w:bCs/>
          <w:color w:val="auto"/>
          <w:sz w:val="22"/>
          <w:szCs w:val="22"/>
        </w:rPr>
      </w:pPr>
      <w:r w:rsidRPr="009F2AFB">
        <w:rPr>
          <w:rFonts w:ascii="Times New Roman" w:hAnsi="Times New Roman" w:cs="Times New Roman"/>
          <w:b/>
          <w:bCs/>
          <w:sz w:val="22"/>
          <w:szCs w:val="22"/>
        </w:rPr>
        <w:t>Pokazatelji uspješnosti:</w:t>
      </w:r>
    </w:p>
    <w:p w14:paraId="04FBF1A7" w14:textId="77777777" w:rsidR="009F2AFB" w:rsidRPr="009F2AFB" w:rsidRDefault="009F2AFB" w:rsidP="00EE07C5">
      <w:pPr>
        <w:pStyle w:val="Default"/>
        <w:numPr>
          <w:ilvl w:val="0"/>
          <w:numId w:val="23"/>
        </w:numPr>
        <w:jc w:val="both"/>
        <w:rPr>
          <w:rFonts w:ascii="Times New Roman" w:hAnsi="Times New Roman" w:cs="Times New Roman"/>
          <w:b/>
          <w:color w:val="auto"/>
          <w:sz w:val="22"/>
          <w:szCs w:val="22"/>
        </w:rPr>
      </w:pPr>
      <w:r w:rsidRPr="009F2AFB">
        <w:rPr>
          <w:rFonts w:ascii="Times New Roman" w:hAnsi="Times New Roman" w:cs="Times New Roman"/>
          <w:sz w:val="22"/>
          <w:szCs w:val="22"/>
        </w:rPr>
        <w:t>broja korisnika socijalne pomoći</w:t>
      </w:r>
    </w:p>
    <w:p w14:paraId="50724771" w14:textId="77777777" w:rsidR="009F2AFB" w:rsidRDefault="009F2AFB" w:rsidP="00EE07C5">
      <w:pPr>
        <w:pStyle w:val="Default"/>
        <w:numPr>
          <w:ilvl w:val="0"/>
          <w:numId w:val="23"/>
        </w:numPr>
        <w:jc w:val="both"/>
        <w:rPr>
          <w:rFonts w:ascii="Times New Roman" w:hAnsi="Times New Roman" w:cs="Times New Roman"/>
          <w:sz w:val="22"/>
          <w:szCs w:val="22"/>
        </w:rPr>
      </w:pPr>
      <w:r w:rsidRPr="009F2AFB">
        <w:rPr>
          <w:rFonts w:ascii="Times New Roman" w:hAnsi="Times New Roman" w:cs="Times New Roman"/>
          <w:sz w:val="22"/>
          <w:szCs w:val="22"/>
        </w:rPr>
        <w:t xml:space="preserve">broj dodijeljenih </w:t>
      </w:r>
      <w:r w:rsidR="00EE07C5">
        <w:rPr>
          <w:rFonts w:ascii="Times New Roman" w:hAnsi="Times New Roman" w:cs="Times New Roman"/>
          <w:sz w:val="22"/>
          <w:szCs w:val="22"/>
        </w:rPr>
        <w:t>naknada</w:t>
      </w:r>
      <w:r w:rsidRPr="009F2AFB">
        <w:rPr>
          <w:rFonts w:ascii="Times New Roman" w:hAnsi="Times New Roman" w:cs="Times New Roman"/>
          <w:sz w:val="22"/>
          <w:szCs w:val="22"/>
        </w:rPr>
        <w:t xml:space="preserve"> </w:t>
      </w:r>
    </w:p>
    <w:p w14:paraId="4B2BA798" w14:textId="77777777" w:rsidR="00EE07C5" w:rsidRDefault="00EE07C5" w:rsidP="00EE07C5">
      <w:pPr>
        <w:pStyle w:val="Default"/>
        <w:numPr>
          <w:ilvl w:val="0"/>
          <w:numId w:val="23"/>
        </w:numPr>
        <w:jc w:val="both"/>
        <w:rPr>
          <w:rFonts w:ascii="Times New Roman" w:hAnsi="Times New Roman" w:cs="Times New Roman"/>
          <w:sz w:val="22"/>
          <w:szCs w:val="22"/>
        </w:rPr>
      </w:pPr>
      <w:r>
        <w:rPr>
          <w:rFonts w:ascii="Times New Roman" w:hAnsi="Times New Roman" w:cs="Times New Roman"/>
          <w:sz w:val="22"/>
          <w:szCs w:val="22"/>
        </w:rPr>
        <w:t>broj korisnika</w:t>
      </w:r>
    </w:p>
    <w:p w14:paraId="64C9617C" w14:textId="77777777" w:rsidR="009F2AFB" w:rsidRDefault="009F2AFB" w:rsidP="00EE07C5">
      <w:pPr>
        <w:pStyle w:val="Default"/>
        <w:jc w:val="both"/>
        <w:rPr>
          <w:rFonts w:ascii="Times New Roman" w:hAnsi="Times New Roman" w:cs="Times New Roman"/>
          <w:sz w:val="22"/>
          <w:szCs w:val="22"/>
        </w:rPr>
      </w:pPr>
    </w:p>
    <w:tbl>
      <w:tblPr>
        <w:tblStyle w:val="TableGrid"/>
        <w:tblW w:w="9060" w:type="dxa"/>
        <w:tblLook w:val="04A0" w:firstRow="1" w:lastRow="0" w:firstColumn="1" w:lastColumn="0" w:noHBand="0" w:noVBand="1"/>
      </w:tblPr>
      <w:tblGrid>
        <w:gridCol w:w="3539"/>
        <w:gridCol w:w="2977"/>
        <w:gridCol w:w="992"/>
        <w:gridCol w:w="1552"/>
      </w:tblGrid>
      <w:tr w:rsidR="002D2682" w:rsidRPr="008B0115" w14:paraId="0A929F69" w14:textId="77777777" w:rsidTr="001870D6">
        <w:trPr>
          <w:trHeight w:val="280"/>
        </w:trPr>
        <w:tc>
          <w:tcPr>
            <w:tcW w:w="3539" w:type="dxa"/>
          </w:tcPr>
          <w:p w14:paraId="45DCC377" w14:textId="77777777" w:rsidR="00157871" w:rsidRPr="008B0115" w:rsidRDefault="00157871" w:rsidP="001870D6">
            <w:pPr>
              <w:jc w:val="center"/>
              <w:rPr>
                <w:rFonts w:ascii="Times New Roman" w:hAnsi="Times New Roman"/>
                <w:b/>
                <w:bCs/>
              </w:rPr>
            </w:pPr>
            <w:r w:rsidRPr="008B0115">
              <w:rPr>
                <w:rFonts w:ascii="Times New Roman" w:hAnsi="Times New Roman"/>
                <w:b/>
                <w:bCs/>
              </w:rPr>
              <w:lastRenderedPageBreak/>
              <w:t>NAZIV AKTIVNOSTI</w:t>
            </w:r>
          </w:p>
        </w:tc>
        <w:tc>
          <w:tcPr>
            <w:tcW w:w="2977" w:type="dxa"/>
          </w:tcPr>
          <w:p w14:paraId="4143822C" w14:textId="77777777" w:rsidR="00157871" w:rsidRPr="008B0115" w:rsidRDefault="00157871" w:rsidP="001870D6">
            <w:pPr>
              <w:jc w:val="center"/>
              <w:rPr>
                <w:rFonts w:ascii="Times New Roman" w:hAnsi="Times New Roman"/>
                <w:b/>
                <w:bCs/>
              </w:rPr>
            </w:pPr>
            <w:r w:rsidRPr="008B0115">
              <w:rPr>
                <w:rFonts w:ascii="Times New Roman" w:hAnsi="Times New Roman"/>
                <w:b/>
                <w:bCs/>
              </w:rPr>
              <w:t>OPIS POKAZATELJA</w:t>
            </w:r>
          </w:p>
        </w:tc>
        <w:tc>
          <w:tcPr>
            <w:tcW w:w="992" w:type="dxa"/>
          </w:tcPr>
          <w:p w14:paraId="55E5B8EF" w14:textId="77777777" w:rsidR="00157871" w:rsidRPr="008B0115" w:rsidRDefault="00157871" w:rsidP="001870D6">
            <w:pPr>
              <w:jc w:val="center"/>
              <w:rPr>
                <w:rFonts w:ascii="Times New Roman" w:hAnsi="Times New Roman"/>
                <w:b/>
                <w:bCs/>
              </w:rPr>
            </w:pPr>
            <w:r w:rsidRPr="008B0115">
              <w:rPr>
                <w:rFonts w:ascii="Times New Roman" w:hAnsi="Times New Roman"/>
                <w:b/>
                <w:bCs/>
              </w:rPr>
              <w:t>PLAN</w:t>
            </w:r>
          </w:p>
        </w:tc>
        <w:tc>
          <w:tcPr>
            <w:tcW w:w="1552" w:type="dxa"/>
          </w:tcPr>
          <w:p w14:paraId="68F498B1" w14:textId="77777777" w:rsidR="00157871" w:rsidRPr="008B0115" w:rsidRDefault="00157871" w:rsidP="001870D6">
            <w:pPr>
              <w:jc w:val="center"/>
              <w:rPr>
                <w:rFonts w:ascii="Times New Roman" w:hAnsi="Times New Roman"/>
                <w:b/>
                <w:bCs/>
              </w:rPr>
            </w:pPr>
            <w:r w:rsidRPr="008B0115">
              <w:rPr>
                <w:rFonts w:ascii="Times New Roman" w:hAnsi="Times New Roman"/>
                <w:b/>
                <w:bCs/>
              </w:rPr>
              <w:t>IZVRŠENJE</w:t>
            </w:r>
          </w:p>
        </w:tc>
      </w:tr>
      <w:tr w:rsidR="002D2682" w:rsidRPr="008B0115" w14:paraId="4A049842" w14:textId="77777777" w:rsidTr="001870D6">
        <w:trPr>
          <w:trHeight w:val="280"/>
        </w:trPr>
        <w:tc>
          <w:tcPr>
            <w:tcW w:w="3539" w:type="dxa"/>
          </w:tcPr>
          <w:p w14:paraId="35FA4235" w14:textId="77777777" w:rsidR="00157871" w:rsidRPr="008B0115" w:rsidRDefault="00157871" w:rsidP="001870D6">
            <w:pPr>
              <w:rPr>
                <w:rFonts w:ascii="Times New Roman" w:hAnsi="Times New Roman"/>
              </w:rPr>
            </w:pPr>
            <w:r w:rsidRPr="008B0115">
              <w:rPr>
                <w:rFonts w:ascii="Times New Roman" w:hAnsi="Times New Roman"/>
              </w:rPr>
              <w:t>Pomoć obiteljima i kućanstvima za stanovanje</w:t>
            </w:r>
          </w:p>
        </w:tc>
        <w:tc>
          <w:tcPr>
            <w:tcW w:w="2977" w:type="dxa"/>
          </w:tcPr>
          <w:p w14:paraId="5CCAB488" w14:textId="77777777" w:rsidR="00157871" w:rsidRPr="008B0115" w:rsidRDefault="00157871" w:rsidP="001870D6">
            <w:pPr>
              <w:rPr>
                <w:rFonts w:ascii="Times New Roman" w:hAnsi="Times New Roman"/>
              </w:rPr>
            </w:pPr>
            <w:r w:rsidRPr="008B0115">
              <w:rPr>
                <w:rFonts w:ascii="Times New Roman" w:hAnsi="Times New Roman"/>
              </w:rPr>
              <w:t>Boja korisnika socijalne pomoći</w:t>
            </w:r>
          </w:p>
        </w:tc>
        <w:tc>
          <w:tcPr>
            <w:tcW w:w="992" w:type="dxa"/>
          </w:tcPr>
          <w:p w14:paraId="677CB7F8" w14:textId="77777777" w:rsidR="00157871" w:rsidRPr="008B0115" w:rsidRDefault="00157871" w:rsidP="001870D6">
            <w:pPr>
              <w:jc w:val="right"/>
              <w:rPr>
                <w:rFonts w:ascii="Times New Roman" w:hAnsi="Times New Roman"/>
              </w:rPr>
            </w:pPr>
            <w:r w:rsidRPr="008B0115">
              <w:rPr>
                <w:rFonts w:ascii="Times New Roman" w:hAnsi="Times New Roman"/>
              </w:rPr>
              <w:t>1</w:t>
            </w:r>
          </w:p>
        </w:tc>
        <w:tc>
          <w:tcPr>
            <w:tcW w:w="1552" w:type="dxa"/>
          </w:tcPr>
          <w:p w14:paraId="36AA9AE2" w14:textId="305C1A74" w:rsidR="00157871" w:rsidRPr="008B0115" w:rsidRDefault="002D2682" w:rsidP="001870D6">
            <w:pPr>
              <w:jc w:val="right"/>
              <w:rPr>
                <w:rFonts w:ascii="Times New Roman" w:hAnsi="Times New Roman"/>
              </w:rPr>
            </w:pPr>
            <w:r w:rsidRPr="008B0115">
              <w:rPr>
                <w:rFonts w:ascii="Times New Roman" w:hAnsi="Times New Roman"/>
              </w:rPr>
              <w:t>0</w:t>
            </w:r>
          </w:p>
        </w:tc>
      </w:tr>
      <w:tr w:rsidR="002D2682" w:rsidRPr="008B0115" w14:paraId="45029733" w14:textId="77777777" w:rsidTr="001870D6">
        <w:trPr>
          <w:trHeight w:val="357"/>
        </w:trPr>
        <w:tc>
          <w:tcPr>
            <w:tcW w:w="3539" w:type="dxa"/>
            <w:shd w:val="clear" w:color="auto" w:fill="F2F2F2" w:themeFill="background1" w:themeFillShade="F2"/>
          </w:tcPr>
          <w:p w14:paraId="2D51F2BF" w14:textId="77777777" w:rsidR="00157871" w:rsidRPr="008B0115" w:rsidRDefault="00157871" w:rsidP="001870D6">
            <w:pPr>
              <w:rPr>
                <w:rFonts w:ascii="Times New Roman" w:hAnsi="Times New Roman"/>
              </w:rPr>
            </w:pPr>
            <w:r w:rsidRPr="008B0115">
              <w:rPr>
                <w:rFonts w:ascii="Times New Roman" w:hAnsi="Times New Roman"/>
              </w:rPr>
              <w:t>Naknade za novorođenčad</w:t>
            </w:r>
          </w:p>
        </w:tc>
        <w:tc>
          <w:tcPr>
            <w:tcW w:w="2977" w:type="dxa"/>
            <w:shd w:val="clear" w:color="auto" w:fill="F2F2F2" w:themeFill="background1" w:themeFillShade="F2"/>
          </w:tcPr>
          <w:p w14:paraId="3BDA49E7" w14:textId="77777777" w:rsidR="00157871" w:rsidRPr="008B0115" w:rsidRDefault="00157871" w:rsidP="001870D6">
            <w:pPr>
              <w:rPr>
                <w:rFonts w:ascii="Times New Roman" w:hAnsi="Times New Roman"/>
              </w:rPr>
            </w:pPr>
            <w:r w:rsidRPr="008B0115">
              <w:rPr>
                <w:rFonts w:ascii="Times New Roman" w:hAnsi="Times New Roman"/>
              </w:rPr>
              <w:t>Broj dodijeljenih naknada</w:t>
            </w:r>
          </w:p>
        </w:tc>
        <w:tc>
          <w:tcPr>
            <w:tcW w:w="992" w:type="dxa"/>
            <w:shd w:val="clear" w:color="auto" w:fill="F2F2F2" w:themeFill="background1" w:themeFillShade="F2"/>
          </w:tcPr>
          <w:p w14:paraId="4051E574" w14:textId="1AA495C6" w:rsidR="00157871" w:rsidRPr="008B0115" w:rsidRDefault="00971954" w:rsidP="001870D6">
            <w:pPr>
              <w:jc w:val="right"/>
              <w:rPr>
                <w:rFonts w:ascii="Times New Roman" w:hAnsi="Times New Roman"/>
              </w:rPr>
            </w:pPr>
            <w:r w:rsidRPr="008B0115">
              <w:rPr>
                <w:rFonts w:ascii="Times New Roman" w:hAnsi="Times New Roman"/>
              </w:rPr>
              <w:t>10</w:t>
            </w:r>
          </w:p>
        </w:tc>
        <w:tc>
          <w:tcPr>
            <w:tcW w:w="1552" w:type="dxa"/>
            <w:shd w:val="clear" w:color="auto" w:fill="F2F2F2" w:themeFill="background1" w:themeFillShade="F2"/>
          </w:tcPr>
          <w:p w14:paraId="20DC785F" w14:textId="4E09ED6B" w:rsidR="00157871" w:rsidRPr="008B0115" w:rsidRDefault="008B0115" w:rsidP="001870D6">
            <w:pPr>
              <w:jc w:val="right"/>
              <w:rPr>
                <w:rFonts w:ascii="Times New Roman" w:hAnsi="Times New Roman"/>
              </w:rPr>
            </w:pPr>
            <w:r>
              <w:rPr>
                <w:rFonts w:ascii="Times New Roman" w:hAnsi="Times New Roman"/>
              </w:rPr>
              <w:t>6</w:t>
            </w:r>
          </w:p>
        </w:tc>
      </w:tr>
      <w:tr w:rsidR="002D2682" w:rsidRPr="008B0115" w14:paraId="309EB43C" w14:textId="77777777" w:rsidTr="001870D6">
        <w:trPr>
          <w:trHeight w:val="357"/>
        </w:trPr>
        <w:tc>
          <w:tcPr>
            <w:tcW w:w="3539" w:type="dxa"/>
          </w:tcPr>
          <w:p w14:paraId="0F6F4C55" w14:textId="77777777" w:rsidR="00157871" w:rsidRPr="008B0115" w:rsidRDefault="00157871" w:rsidP="001870D6">
            <w:pPr>
              <w:rPr>
                <w:rFonts w:ascii="Times New Roman" w:hAnsi="Times New Roman"/>
              </w:rPr>
            </w:pPr>
            <w:r w:rsidRPr="008B0115">
              <w:rPr>
                <w:rFonts w:ascii="Times New Roman" w:hAnsi="Times New Roman"/>
              </w:rPr>
              <w:t>Pomoć za podmirenje troškova prehrane i odgoja</w:t>
            </w:r>
          </w:p>
        </w:tc>
        <w:tc>
          <w:tcPr>
            <w:tcW w:w="2977" w:type="dxa"/>
          </w:tcPr>
          <w:p w14:paraId="3BD01353" w14:textId="77777777" w:rsidR="00157871" w:rsidRPr="008B0115" w:rsidRDefault="00157871" w:rsidP="001870D6">
            <w:pPr>
              <w:rPr>
                <w:rFonts w:ascii="Times New Roman" w:hAnsi="Times New Roman"/>
              </w:rPr>
            </w:pPr>
            <w:r w:rsidRPr="008B0115">
              <w:rPr>
                <w:rFonts w:ascii="Times New Roman" w:hAnsi="Times New Roman"/>
              </w:rPr>
              <w:t>Broj korisnika</w:t>
            </w:r>
          </w:p>
        </w:tc>
        <w:tc>
          <w:tcPr>
            <w:tcW w:w="992" w:type="dxa"/>
          </w:tcPr>
          <w:p w14:paraId="388224B4" w14:textId="77777777" w:rsidR="00157871" w:rsidRPr="008B0115" w:rsidRDefault="00157871" w:rsidP="001870D6">
            <w:pPr>
              <w:jc w:val="right"/>
              <w:rPr>
                <w:rFonts w:ascii="Times New Roman" w:hAnsi="Times New Roman"/>
              </w:rPr>
            </w:pPr>
            <w:r w:rsidRPr="008B0115">
              <w:rPr>
                <w:rFonts w:ascii="Times New Roman" w:hAnsi="Times New Roman"/>
              </w:rPr>
              <w:t>0</w:t>
            </w:r>
          </w:p>
        </w:tc>
        <w:tc>
          <w:tcPr>
            <w:tcW w:w="1552" w:type="dxa"/>
          </w:tcPr>
          <w:p w14:paraId="73C6E727" w14:textId="77777777" w:rsidR="00157871" w:rsidRPr="008B0115" w:rsidRDefault="00157871" w:rsidP="001870D6">
            <w:pPr>
              <w:jc w:val="right"/>
              <w:rPr>
                <w:rFonts w:ascii="Times New Roman" w:hAnsi="Times New Roman"/>
              </w:rPr>
            </w:pPr>
            <w:r w:rsidRPr="008B0115">
              <w:rPr>
                <w:rFonts w:ascii="Times New Roman" w:hAnsi="Times New Roman"/>
              </w:rPr>
              <w:t>0</w:t>
            </w:r>
          </w:p>
        </w:tc>
      </w:tr>
    </w:tbl>
    <w:p w14:paraId="27C1E28F" w14:textId="77777777" w:rsidR="00EE07C5" w:rsidRPr="009F2AFB" w:rsidRDefault="00EE07C5" w:rsidP="00E13BCA">
      <w:pPr>
        <w:pStyle w:val="Default"/>
        <w:jc w:val="both"/>
        <w:rPr>
          <w:rFonts w:ascii="Times New Roman" w:hAnsi="Times New Roman" w:cs="Times New Roman"/>
          <w:sz w:val="22"/>
          <w:szCs w:val="22"/>
        </w:rPr>
      </w:pPr>
    </w:p>
    <w:p w14:paraId="541D5A25" w14:textId="77777777" w:rsidR="009F2AFB" w:rsidRDefault="009F2AFB" w:rsidP="00E13BCA">
      <w:pPr>
        <w:pStyle w:val="Default"/>
        <w:jc w:val="both"/>
        <w:rPr>
          <w:rFonts w:ascii="Times New Roman" w:hAnsi="Times New Roman" w:cs="Times New Roman"/>
          <w:b/>
          <w:bCs/>
          <w:sz w:val="22"/>
          <w:szCs w:val="22"/>
        </w:rPr>
      </w:pPr>
    </w:p>
    <w:p w14:paraId="059C8A6A" w14:textId="77777777" w:rsidR="00027CE9" w:rsidRPr="007C5589" w:rsidRDefault="00027CE9" w:rsidP="00E13BCA">
      <w:pPr>
        <w:pStyle w:val="Default"/>
        <w:jc w:val="both"/>
        <w:rPr>
          <w:rFonts w:ascii="Times New Roman" w:hAnsi="Times New Roman" w:cs="Times New Roman"/>
          <w:b/>
          <w:bCs/>
          <w:sz w:val="22"/>
          <w:szCs w:val="22"/>
        </w:rPr>
      </w:pPr>
    </w:p>
    <w:p w14:paraId="4D40D098" w14:textId="61889A18" w:rsidR="00AE5B93" w:rsidRPr="007A1751" w:rsidRDefault="00AE5B93" w:rsidP="00AE5B93">
      <w:pPr>
        <w:pStyle w:val="Heading5"/>
        <w:spacing w:before="0" w:line="240" w:lineRule="auto"/>
        <w:ind w:right="139"/>
        <w:jc w:val="center"/>
        <w:rPr>
          <w:rFonts w:ascii="Times New Roman" w:hAnsi="Times New Roman" w:cs="Times New Roman"/>
          <w:b/>
          <w:color w:val="auto"/>
        </w:rPr>
      </w:pPr>
      <w:bookmarkStart w:id="3" w:name="_Hlk80879693"/>
      <w:r>
        <w:rPr>
          <w:rFonts w:ascii="Times New Roman" w:hAnsi="Times New Roman" w:cs="Times New Roman"/>
          <w:b/>
          <w:color w:val="auto"/>
          <w:w w:val="115"/>
        </w:rPr>
        <w:t>Program 1009</w:t>
      </w:r>
      <w:r w:rsidRPr="007A1751">
        <w:rPr>
          <w:rFonts w:ascii="Times New Roman" w:hAnsi="Times New Roman" w:cs="Times New Roman"/>
          <w:b/>
          <w:color w:val="auto"/>
          <w:w w:val="115"/>
        </w:rPr>
        <w:t xml:space="preserve">: </w:t>
      </w:r>
      <w:r>
        <w:rPr>
          <w:rFonts w:ascii="Times New Roman" w:hAnsi="Times New Roman" w:cs="Times New Roman"/>
          <w:b/>
          <w:color w:val="auto"/>
          <w:w w:val="115"/>
        </w:rPr>
        <w:t xml:space="preserve">IZGRADNJA OBJEKATA I UREĐAJA KOMUNALNE INFRASTRUKTURE </w:t>
      </w:r>
    </w:p>
    <w:p w14:paraId="66AD065E" w14:textId="77777777" w:rsidR="00AE5B93" w:rsidRPr="00027CE9" w:rsidRDefault="00AE5B93" w:rsidP="00027CE9">
      <w:pPr>
        <w:spacing w:after="0" w:line="240" w:lineRule="auto"/>
        <w:jc w:val="both"/>
        <w:rPr>
          <w:rFonts w:ascii="Times New Roman" w:hAnsi="Times New Roman"/>
        </w:rPr>
      </w:pPr>
    </w:p>
    <w:bookmarkEnd w:id="3"/>
    <w:p w14:paraId="7A5C0AD4" w14:textId="77777777" w:rsidR="00027CE9" w:rsidRPr="00027CE9" w:rsidRDefault="00027CE9" w:rsidP="00027CE9">
      <w:pPr>
        <w:spacing w:after="0" w:line="240" w:lineRule="auto"/>
        <w:jc w:val="both"/>
      </w:pPr>
      <w:r w:rsidRPr="00027CE9">
        <w:rPr>
          <w:rFonts w:ascii="Times New Roman" w:hAnsi="Times New Roman"/>
        </w:rPr>
        <w:t xml:space="preserve">U 2025. godini Program gradnje objekata i uređaja komunalne infrastrukture realiziran je u iznosu od </w:t>
      </w:r>
      <w:r w:rsidRPr="00027CE9">
        <w:rPr>
          <w:rFonts w:ascii="Times New Roman" w:hAnsi="Times New Roman"/>
          <w:b/>
          <w:bCs/>
        </w:rPr>
        <w:t>99.474,00 EUR</w:t>
      </w:r>
      <w:r w:rsidRPr="00027CE9">
        <w:rPr>
          <w:rFonts w:ascii="Times New Roman" w:hAnsi="Times New Roman"/>
        </w:rPr>
        <w:t>.</w:t>
      </w:r>
    </w:p>
    <w:p w14:paraId="38184DE5" w14:textId="77777777" w:rsidR="00027CE9" w:rsidRPr="00027CE9" w:rsidRDefault="00027CE9" w:rsidP="00027CE9">
      <w:pPr>
        <w:pStyle w:val="BodyText"/>
        <w:ind w:right="118"/>
        <w:rPr>
          <w:color w:val="FF0000"/>
          <w:sz w:val="22"/>
          <w:szCs w:val="22"/>
        </w:rPr>
      </w:pPr>
    </w:p>
    <w:p w14:paraId="17710CCE" w14:textId="77777777" w:rsidR="00027CE9" w:rsidRPr="00027CE9" w:rsidRDefault="00027CE9" w:rsidP="00027CE9">
      <w:pPr>
        <w:autoSpaceDE w:val="0"/>
        <w:autoSpaceDN w:val="0"/>
        <w:adjustRightInd w:val="0"/>
        <w:spacing w:after="0" w:line="240" w:lineRule="auto"/>
        <w:jc w:val="both"/>
        <w:rPr>
          <w:rFonts w:ascii="Times New Roman" w:hAnsi="Times New Roman"/>
          <w:bCs/>
        </w:rPr>
      </w:pPr>
      <w:r w:rsidRPr="00027CE9">
        <w:rPr>
          <w:rFonts w:ascii="Times New Roman" w:hAnsi="Times New Roman"/>
        </w:rPr>
        <w:t xml:space="preserve">U 2025. godini </w:t>
      </w:r>
      <w:r w:rsidRPr="00027CE9">
        <w:rPr>
          <w:rFonts w:ascii="Times New Roman" w:hAnsi="Times New Roman"/>
          <w:bCs/>
        </w:rPr>
        <w:t xml:space="preserve">za aktivnost </w:t>
      </w:r>
      <w:r w:rsidRPr="00027CE9">
        <w:rPr>
          <w:rFonts w:ascii="Times New Roman" w:hAnsi="Times New Roman"/>
          <w:i/>
          <w:iCs/>
        </w:rPr>
        <w:t xml:space="preserve">Sufinanciranje izgradnje Županijskog centra za gospodarenje otpadom Kaštijun </w:t>
      </w:r>
      <w:r w:rsidRPr="00027CE9">
        <w:rPr>
          <w:rFonts w:ascii="Times New Roman" w:hAnsi="Times New Roman"/>
        </w:rPr>
        <w:t>utrošen je</w:t>
      </w:r>
      <w:r w:rsidRPr="00027CE9">
        <w:rPr>
          <w:rFonts w:ascii="Times New Roman" w:hAnsi="Times New Roman"/>
          <w:bCs/>
        </w:rPr>
        <w:t xml:space="preserve"> iznos od 1.347,72 EUR temeljem Ugovora o načinu i uvjetima povrata sredstava u proračun Istarske županije za izgradnju ŽCGO „Kaštijun“, sklopljenog 17. listopada 2016. godine.</w:t>
      </w:r>
    </w:p>
    <w:p w14:paraId="670500AB" w14:textId="77777777" w:rsidR="00027CE9" w:rsidRPr="00027CE9" w:rsidRDefault="00027CE9" w:rsidP="00027CE9">
      <w:pPr>
        <w:autoSpaceDE w:val="0"/>
        <w:autoSpaceDN w:val="0"/>
        <w:adjustRightInd w:val="0"/>
        <w:spacing w:after="0" w:line="240" w:lineRule="auto"/>
        <w:jc w:val="both"/>
        <w:rPr>
          <w:rFonts w:ascii="Times New Roman" w:hAnsi="Times New Roman"/>
          <w:bCs/>
        </w:rPr>
      </w:pPr>
      <w:r w:rsidRPr="00027CE9">
        <w:rPr>
          <w:rFonts w:ascii="Times New Roman" w:hAnsi="Times New Roman"/>
          <w:bCs/>
        </w:rPr>
        <w:t xml:space="preserve">Na aktivnost </w:t>
      </w:r>
      <w:r w:rsidRPr="00027CE9">
        <w:rPr>
          <w:rFonts w:ascii="Times New Roman" w:hAnsi="Times New Roman"/>
          <w:bCs/>
          <w:i/>
          <w:iCs/>
        </w:rPr>
        <w:t>Izgradnja javne rasvjete</w:t>
      </w:r>
      <w:r w:rsidRPr="00027CE9">
        <w:rPr>
          <w:rFonts w:ascii="Times New Roman" w:hAnsi="Times New Roman"/>
          <w:bCs/>
        </w:rPr>
        <w:t xml:space="preserve"> utrošena su sredstva u iznosu od 6.619,38 EUR. Sredstva su utrošena za proširenje javne rasvjete te zamjene starih lampi na LED tehnologiju u naseljima Hrastići, Novaki, Orlići i sv. Ivan, po jedno rasvjetno tijelo po naselju, te premještaj voda javne rasvjete u naselju Beninići.</w:t>
      </w:r>
    </w:p>
    <w:p w14:paraId="6176BC67" w14:textId="77777777" w:rsidR="00027CE9" w:rsidRDefault="00027CE9" w:rsidP="00027CE9">
      <w:pPr>
        <w:autoSpaceDE w:val="0"/>
        <w:autoSpaceDN w:val="0"/>
        <w:adjustRightInd w:val="0"/>
        <w:spacing w:after="0" w:line="240" w:lineRule="auto"/>
        <w:jc w:val="both"/>
        <w:rPr>
          <w:rFonts w:ascii="Times New Roman" w:hAnsi="Times New Roman"/>
          <w:i/>
          <w:iCs/>
        </w:rPr>
      </w:pPr>
    </w:p>
    <w:p w14:paraId="076D24D8" w14:textId="1D1E7549" w:rsidR="00027CE9" w:rsidRPr="00027CE9" w:rsidRDefault="00027CE9" w:rsidP="00027CE9">
      <w:pPr>
        <w:autoSpaceDE w:val="0"/>
        <w:autoSpaceDN w:val="0"/>
        <w:adjustRightInd w:val="0"/>
        <w:spacing w:after="0" w:line="240" w:lineRule="auto"/>
        <w:jc w:val="both"/>
        <w:rPr>
          <w:rFonts w:ascii="Times New Roman" w:hAnsi="Times New Roman"/>
          <w:bCs/>
        </w:rPr>
      </w:pPr>
      <w:r w:rsidRPr="00027CE9">
        <w:rPr>
          <w:rFonts w:ascii="Times New Roman" w:hAnsi="Times New Roman"/>
          <w:i/>
          <w:iCs/>
        </w:rPr>
        <w:t xml:space="preserve">Za projekt Uređenje trga Belvedere </w:t>
      </w:r>
      <w:r w:rsidRPr="00027CE9">
        <w:rPr>
          <w:rFonts w:ascii="Times New Roman" w:hAnsi="Times New Roman"/>
          <w:bCs/>
        </w:rPr>
        <w:t>utrošena su sredstva u 2025. godini u iznosu od 46.212,50 EUR. Navedena sredstva utrošena su na sanaciju kamenog nosača zastava na predmetnom trgu.</w:t>
      </w:r>
      <w:r>
        <w:rPr>
          <w:rFonts w:ascii="Times New Roman" w:hAnsi="Times New Roman"/>
          <w:bCs/>
        </w:rPr>
        <w:t xml:space="preserve"> </w:t>
      </w:r>
      <w:r w:rsidRPr="00027CE9">
        <w:rPr>
          <w:rFonts w:ascii="Times New Roman" w:hAnsi="Times New Roman"/>
          <w:bCs/>
        </w:rPr>
        <w:t xml:space="preserve">Za projekt </w:t>
      </w:r>
      <w:r w:rsidRPr="00027CE9">
        <w:rPr>
          <w:rFonts w:ascii="Times New Roman" w:hAnsi="Times New Roman"/>
          <w:i/>
          <w:iCs/>
        </w:rPr>
        <w:t>Izgradnje i opremanje dječjeg igrališta u Zrenju</w:t>
      </w:r>
      <w:r w:rsidRPr="00027CE9">
        <w:rPr>
          <w:rFonts w:ascii="Times New Roman" w:hAnsi="Times New Roman"/>
          <w:bCs/>
        </w:rPr>
        <w:t xml:space="preserve"> utrošena su sredstva u iznosu od 2.000,00 EUR i to za izradu idejnog rješenja uređenja dječjeg igrališta. </w:t>
      </w:r>
    </w:p>
    <w:p w14:paraId="012B2B6B" w14:textId="77777777" w:rsidR="00027CE9" w:rsidRPr="00027CE9" w:rsidRDefault="00027CE9" w:rsidP="00027CE9">
      <w:pPr>
        <w:autoSpaceDE w:val="0"/>
        <w:autoSpaceDN w:val="0"/>
        <w:adjustRightInd w:val="0"/>
        <w:spacing w:after="0" w:line="240" w:lineRule="auto"/>
        <w:jc w:val="both"/>
        <w:rPr>
          <w:rFonts w:ascii="Times New Roman" w:hAnsi="Times New Roman"/>
          <w:bCs/>
          <w:color w:val="FF0000"/>
        </w:rPr>
      </w:pPr>
    </w:p>
    <w:p w14:paraId="702D5D24" w14:textId="77777777" w:rsidR="00027CE9" w:rsidRPr="00027CE9" w:rsidRDefault="00027CE9" w:rsidP="00027CE9">
      <w:pPr>
        <w:autoSpaceDE w:val="0"/>
        <w:autoSpaceDN w:val="0"/>
        <w:adjustRightInd w:val="0"/>
        <w:spacing w:after="0" w:line="240" w:lineRule="auto"/>
        <w:jc w:val="both"/>
        <w:rPr>
          <w:rFonts w:ascii="Times New Roman" w:hAnsi="Times New Roman"/>
          <w:bCs/>
        </w:rPr>
      </w:pPr>
      <w:r w:rsidRPr="00027CE9">
        <w:rPr>
          <w:rFonts w:ascii="Times New Roman" w:hAnsi="Times New Roman"/>
          <w:bCs/>
        </w:rPr>
        <w:t xml:space="preserve">Za </w:t>
      </w:r>
      <w:r w:rsidRPr="00027CE9">
        <w:rPr>
          <w:rFonts w:ascii="Times New Roman" w:hAnsi="Times New Roman"/>
          <w:i/>
          <w:iCs/>
        </w:rPr>
        <w:t>Uređenje dječjeg igrališta u Oprtlju</w:t>
      </w:r>
      <w:r w:rsidRPr="00027CE9">
        <w:rPr>
          <w:rFonts w:ascii="Times New Roman" w:hAnsi="Times New Roman"/>
          <w:bCs/>
        </w:rPr>
        <w:t xml:space="preserve"> utrošena su sredstva u 2025. godini u iznosu od 2.459,40 EUR i to za nabavu drvenog igrala, uređenje zemljane podloge te nabavu dječjeg stola za piknik sa klupom. Za dovršetak </w:t>
      </w:r>
      <w:r w:rsidRPr="00027CE9">
        <w:rPr>
          <w:rFonts w:ascii="Times New Roman" w:hAnsi="Times New Roman"/>
          <w:i/>
          <w:iCs/>
        </w:rPr>
        <w:t>Izgradnje i opremanja dječjeg igrališta u Kavima</w:t>
      </w:r>
      <w:r w:rsidRPr="00027CE9">
        <w:rPr>
          <w:rFonts w:ascii="Times New Roman" w:hAnsi="Times New Roman"/>
          <w:bCs/>
        </w:rPr>
        <w:t xml:space="preserve"> utrošena su sredstva u iznosu od 300,00 EUR.</w:t>
      </w:r>
    </w:p>
    <w:p w14:paraId="53C5AD9D" w14:textId="77777777" w:rsidR="00E13BCA" w:rsidRPr="00027CE9" w:rsidRDefault="00E13BCA" w:rsidP="00027CE9">
      <w:pPr>
        <w:spacing w:after="0" w:line="240" w:lineRule="auto"/>
        <w:ind w:right="-1"/>
        <w:jc w:val="both"/>
        <w:rPr>
          <w:rFonts w:ascii="Times New Roman" w:hAnsi="Times New Roman"/>
          <w:b/>
        </w:rPr>
      </w:pPr>
    </w:p>
    <w:p w14:paraId="2847A2D2" w14:textId="3A2FB87F" w:rsidR="00900D33" w:rsidRPr="000D3F32" w:rsidRDefault="00900D33" w:rsidP="00027CE9">
      <w:pPr>
        <w:spacing w:after="0" w:line="240" w:lineRule="auto"/>
        <w:ind w:right="-1"/>
        <w:jc w:val="both"/>
        <w:rPr>
          <w:rFonts w:ascii="Times New Roman" w:hAnsi="Times New Roman"/>
        </w:rPr>
      </w:pPr>
      <w:r w:rsidRPr="00027CE9">
        <w:rPr>
          <w:rFonts w:ascii="Times New Roman" w:hAnsi="Times New Roman"/>
          <w:b/>
        </w:rPr>
        <w:t xml:space="preserve">Cilj programa gradnje objekata i uređaja komunalne infrastrukture </w:t>
      </w:r>
      <w:r w:rsidRPr="00027CE9">
        <w:rPr>
          <w:rFonts w:ascii="Times New Roman" w:hAnsi="Times New Roman"/>
        </w:rPr>
        <w:t>je poboljšati prometni režim i mrežu u skladu s općinskim potrebama, povećati sigurnost i protočnost prometa, ukloniti uočene nedostatke u vertikalnoj i horizontalnoj signalizaciji, pripremati projektnu dokumentaciju za buduće</w:t>
      </w:r>
      <w:r w:rsidRPr="000D3F32">
        <w:rPr>
          <w:rFonts w:ascii="Times New Roman" w:hAnsi="Times New Roman"/>
        </w:rPr>
        <w:t xml:space="preserve"> investicije, razvoj mreže javne rasvjete, te uređivati biciklističke staze i javne površine.</w:t>
      </w:r>
    </w:p>
    <w:p w14:paraId="53760568" w14:textId="77777777" w:rsidR="000D3F32" w:rsidRPr="000D3F32" w:rsidRDefault="000D3F32" w:rsidP="000D3F32">
      <w:pPr>
        <w:spacing w:after="0" w:line="240" w:lineRule="auto"/>
        <w:ind w:right="-1"/>
        <w:jc w:val="both"/>
        <w:rPr>
          <w:rFonts w:ascii="Times New Roman" w:hAnsi="Times New Roman"/>
        </w:rPr>
      </w:pPr>
    </w:p>
    <w:p w14:paraId="5F3E253C" w14:textId="77777777" w:rsidR="00166685" w:rsidRPr="000D3F32" w:rsidRDefault="00166685" w:rsidP="000D3F32">
      <w:pPr>
        <w:autoSpaceDE w:val="0"/>
        <w:autoSpaceDN w:val="0"/>
        <w:adjustRightInd w:val="0"/>
        <w:spacing w:after="0" w:line="240" w:lineRule="auto"/>
        <w:jc w:val="both"/>
        <w:rPr>
          <w:rFonts w:ascii="Times New Roman" w:hAnsi="Times New Roman"/>
        </w:rPr>
      </w:pPr>
      <w:r w:rsidRPr="000D3F32">
        <w:rPr>
          <w:rFonts w:ascii="Times New Roman" w:hAnsi="Times New Roman"/>
        </w:rPr>
        <w:t>Pokazatelji uspješnosti:</w:t>
      </w:r>
    </w:p>
    <w:p w14:paraId="6E274B8E" w14:textId="77777777" w:rsidR="00900D33" w:rsidRPr="000D3F32" w:rsidRDefault="00166685" w:rsidP="000D3F32">
      <w:pPr>
        <w:pStyle w:val="ListParagraph"/>
        <w:numPr>
          <w:ilvl w:val="0"/>
          <w:numId w:val="24"/>
        </w:numPr>
        <w:autoSpaceDE w:val="0"/>
        <w:autoSpaceDN w:val="0"/>
        <w:adjustRightInd w:val="0"/>
        <w:spacing w:after="0" w:line="240" w:lineRule="auto"/>
        <w:jc w:val="both"/>
        <w:rPr>
          <w:rFonts w:ascii="Times New Roman" w:hAnsi="Times New Roman"/>
          <w:bCs/>
        </w:rPr>
      </w:pPr>
      <w:r w:rsidRPr="000D3F32">
        <w:rPr>
          <w:rFonts w:ascii="Times New Roman" w:hAnsi="Times New Roman"/>
        </w:rPr>
        <w:t xml:space="preserve">izgrađena/rekonstruirana javna rasvjeta (kom rasvjetnih tijela) </w:t>
      </w:r>
    </w:p>
    <w:p w14:paraId="748A81D7" w14:textId="77777777" w:rsidR="00166685" w:rsidRPr="000D3F32" w:rsidRDefault="00166685" w:rsidP="000D3F32">
      <w:pPr>
        <w:autoSpaceDE w:val="0"/>
        <w:autoSpaceDN w:val="0"/>
        <w:adjustRightInd w:val="0"/>
        <w:spacing w:after="0" w:line="240" w:lineRule="auto"/>
        <w:jc w:val="both"/>
        <w:rPr>
          <w:rFonts w:ascii="Times New Roman" w:hAnsi="Times New Roman"/>
          <w:bCs/>
          <w:color w:val="FF0000"/>
        </w:rPr>
      </w:pPr>
    </w:p>
    <w:tbl>
      <w:tblPr>
        <w:tblStyle w:val="TableGrid"/>
        <w:tblW w:w="9143" w:type="dxa"/>
        <w:shd w:val="clear" w:color="auto" w:fill="FFFFFF" w:themeFill="background1"/>
        <w:tblLook w:val="04A0" w:firstRow="1" w:lastRow="0" w:firstColumn="1" w:lastColumn="0" w:noHBand="0" w:noVBand="1"/>
      </w:tblPr>
      <w:tblGrid>
        <w:gridCol w:w="2689"/>
        <w:gridCol w:w="3827"/>
        <w:gridCol w:w="1134"/>
        <w:gridCol w:w="1493"/>
      </w:tblGrid>
      <w:tr w:rsidR="002D2682" w:rsidRPr="008B0115" w14:paraId="02DA1E0F" w14:textId="77777777" w:rsidTr="001870D6">
        <w:trPr>
          <w:trHeight w:val="357"/>
        </w:trPr>
        <w:tc>
          <w:tcPr>
            <w:tcW w:w="2689" w:type="dxa"/>
            <w:shd w:val="clear" w:color="auto" w:fill="FFFFFF" w:themeFill="background1"/>
          </w:tcPr>
          <w:p w14:paraId="32800F74" w14:textId="77777777" w:rsidR="007C5589" w:rsidRPr="008B0115" w:rsidRDefault="007C5589" w:rsidP="000D3F32">
            <w:pPr>
              <w:jc w:val="center"/>
              <w:rPr>
                <w:rFonts w:ascii="Times New Roman" w:hAnsi="Times New Roman"/>
                <w:b/>
                <w:bCs/>
              </w:rPr>
            </w:pPr>
            <w:r w:rsidRPr="008B0115">
              <w:rPr>
                <w:rFonts w:ascii="Times New Roman" w:hAnsi="Times New Roman"/>
                <w:b/>
                <w:bCs/>
              </w:rPr>
              <w:t>NAZIV AKTIVNOSTI</w:t>
            </w:r>
          </w:p>
        </w:tc>
        <w:tc>
          <w:tcPr>
            <w:tcW w:w="3827" w:type="dxa"/>
            <w:shd w:val="clear" w:color="auto" w:fill="FFFFFF" w:themeFill="background1"/>
          </w:tcPr>
          <w:p w14:paraId="75DDA995" w14:textId="77777777" w:rsidR="007C5589" w:rsidRPr="008B0115" w:rsidRDefault="007C5589" w:rsidP="000D3F32">
            <w:pPr>
              <w:autoSpaceDE w:val="0"/>
              <w:autoSpaceDN w:val="0"/>
              <w:adjustRightInd w:val="0"/>
              <w:jc w:val="center"/>
              <w:rPr>
                <w:rFonts w:ascii="Times New Roman" w:hAnsi="Times New Roman"/>
                <w:b/>
                <w:bCs/>
              </w:rPr>
            </w:pPr>
            <w:r w:rsidRPr="008B0115">
              <w:rPr>
                <w:rFonts w:ascii="Times New Roman" w:hAnsi="Times New Roman"/>
                <w:b/>
                <w:bCs/>
              </w:rPr>
              <w:t>OPIS POKAZATELJA</w:t>
            </w:r>
          </w:p>
        </w:tc>
        <w:tc>
          <w:tcPr>
            <w:tcW w:w="1134" w:type="dxa"/>
            <w:shd w:val="clear" w:color="auto" w:fill="FFFFFF" w:themeFill="background1"/>
          </w:tcPr>
          <w:p w14:paraId="53BFB9AB" w14:textId="77777777" w:rsidR="007C5589" w:rsidRPr="008B0115" w:rsidRDefault="007C5589" w:rsidP="000D3F32">
            <w:pPr>
              <w:jc w:val="center"/>
              <w:rPr>
                <w:rFonts w:ascii="Times New Roman" w:hAnsi="Times New Roman"/>
                <w:b/>
                <w:bCs/>
              </w:rPr>
            </w:pPr>
            <w:r w:rsidRPr="008B0115">
              <w:rPr>
                <w:rFonts w:ascii="Times New Roman" w:hAnsi="Times New Roman"/>
                <w:b/>
                <w:bCs/>
              </w:rPr>
              <w:t>PLAN</w:t>
            </w:r>
          </w:p>
        </w:tc>
        <w:tc>
          <w:tcPr>
            <w:tcW w:w="1493" w:type="dxa"/>
            <w:shd w:val="clear" w:color="auto" w:fill="FFFFFF" w:themeFill="background1"/>
          </w:tcPr>
          <w:p w14:paraId="7D42B301" w14:textId="77777777" w:rsidR="007C5589" w:rsidRPr="008B0115" w:rsidRDefault="007C5589" w:rsidP="000D3F32">
            <w:pPr>
              <w:jc w:val="center"/>
              <w:rPr>
                <w:rFonts w:ascii="Times New Roman" w:hAnsi="Times New Roman"/>
                <w:b/>
                <w:bCs/>
              </w:rPr>
            </w:pPr>
            <w:r w:rsidRPr="008B0115">
              <w:rPr>
                <w:rFonts w:ascii="Times New Roman" w:hAnsi="Times New Roman"/>
                <w:b/>
                <w:bCs/>
              </w:rPr>
              <w:t>IZVRŠENJE</w:t>
            </w:r>
          </w:p>
        </w:tc>
      </w:tr>
      <w:tr w:rsidR="002D2682" w:rsidRPr="008B0115" w14:paraId="65752819" w14:textId="77777777" w:rsidTr="001870D6">
        <w:trPr>
          <w:trHeight w:val="357"/>
        </w:trPr>
        <w:tc>
          <w:tcPr>
            <w:tcW w:w="2689" w:type="dxa"/>
            <w:shd w:val="clear" w:color="auto" w:fill="FFFFFF" w:themeFill="background1"/>
          </w:tcPr>
          <w:p w14:paraId="04BFE01F" w14:textId="77777777" w:rsidR="007C5589" w:rsidRPr="008B0115" w:rsidRDefault="007C5589" w:rsidP="000D3F32">
            <w:pPr>
              <w:rPr>
                <w:rFonts w:ascii="Times New Roman" w:hAnsi="Times New Roman"/>
              </w:rPr>
            </w:pPr>
            <w:r w:rsidRPr="008B0115">
              <w:rPr>
                <w:rFonts w:ascii="Times New Roman" w:hAnsi="Times New Roman"/>
              </w:rPr>
              <w:t>Izgradnja javne rasvjete</w:t>
            </w:r>
          </w:p>
        </w:tc>
        <w:tc>
          <w:tcPr>
            <w:tcW w:w="3827" w:type="dxa"/>
            <w:shd w:val="clear" w:color="auto" w:fill="FFFFFF" w:themeFill="background1"/>
          </w:tcPr>
          <w:p w14:paraId="5005C15B" w14:textId="77777777" w:rsidR="007C5589" w:rsidRPr="008B0115" w:rsidRDefault="007C5589" w:rsidP="000D3F32">
            <w:pPr>
              <w:autoSpaceDE w:val="0"/>
              <w:autoSpaceDN w:val="0"/>
              <w:adjustRightInd w:val="0"/>
              <w:jc w:val="both"/>
              <w:rPr>
                <w:rFonts w:ascii="Times New Roman" w:hAnsi="Times New Roman"/>
                <w:bCs/>
              </w:rPr>
            </w:pPr>
            <w:r w:rsidRPr="008B0115">
              <w:rPr>
                <w:rFonts w:ascii="Times New Roman" w:hAnsi="Times New Roman"/>
              </w:rPr>
              <w:t xml:space="preserve">Izgrađena/rekonstruirana javna rasvjeta (kom rasvjetnih tijela) </w:t>
            </w:r>
          </w:p>
          <w:p w14:paraId="07D7A475" w14:textId="77777777" w:rsidR="007C5589" w:rsidRPr="008B0115" w:rsidRDefault="007C5589" w:rsidP="000D3F32">
            <w:pPr>
              <w:rPr>
                <w:rFonts w:ascii="Times New Roman" w:hAnsi="Times New Roman"/>
              </w:rPr>
            </w:pPr>
          </w:p>
        </w:tc>
        <w:tc>
          <w:tcPr>
            <w:tcW w:w="1134" w:type="dxa"/>
            <w:shd w:val="clear" w:color="auto" w:fill="FFFFFF" w:themeFill="background1"/>
          </w:tcPr>
          <w:p w14:paraId="76CCCFFA" w14:textId="77777777" w:rsidR="007C5589" w:rsidRPr="008B0115" w:rsidRDefault="007C5589" w:rsidP="000D3F32">
            <w:pPr>
              <w:jc w:val="right"/>
              <w:rPr>
                <w:rFonts w:ascii="Times New Roman" w:hAnsi="Times New Roman"/>
              </w:rPr>
            </w:pPr>
            <w:r w:rsidRPr="008B0115">
              <w:rPr>
                <w:rFonts w:ascii="Times New Roman" w:hAnsi="Times New Roman"/>
              </w:rPr>
              <w:t>10</w:t>
            </w:r>
          </w:p>
        </w:tc>
        <w:tc>
          <w:tcPr>
            <w:tcW w:w="1493" w:type="dxa"/>
            <w:shd w:val="clear" w:color="auto" w:fill="FFFFFF" w:themeFill="background1"/>
          </w:tcPr>
          <w:p w14:paraId="2A53A1DB" w14:textId="2D044F20" w:rsidR="007C5589" w:rsidRPr="008B0115" w:rsidRDefault="008B0115" w:rsidP="000D3F32">
            <w:pPr>
              <w:jc w:val="right"/>
              <w:rPr>
                <w:rFonts w:ascii="Times New Roman" w:hAnsi="Times New Roman"/>
              </w:rPr>
            </w:pPr>
            <w:r>
              <w:rPr>
                <w:rFonts w:ascii="Times New Roman" w:hAnsi="Times New Roman"/>
              </w:rPr>
              <w:t>5</w:t>
            </w:r>
          </w:p>
        </w:tc>
      </w:tr>
    </w:tbl>
    <w:p w14:paraId="6F8472A2" w14:textId="77777777" w:rsidR="005D74B7" w:rsidRPr="00057DE1" w:rsidRDefault="005D74B7" w:rsidP="005D74B7">
      <w:pPr>
        <w:pStyle w:val="Default"/>
        <w:jc w:val="both"/>
        <w:rPr>
          <w:rFonts w:ascii="Times New Roman" w:hAnsi="Times New Roman" w:cs="Times New Roman"/>
          <w:i/>
          <w:color w:val="auto"/>
        </w:rPr>
      </w:pPr>
    </w:p>
    <w:p w14:paraId="00CD7EC0" w14:textId="77777777" w:rsidR="000D3F32" w:rsidRDefault="000D3F32" w:rsidP="00FE3F63">
      <w:pPr>
        <w:pStyle w:val="Default"/>
        <w:jc w:val="both"/>
        <w:rPr>
          <w:rFonts w:ascii="Times New Roman" w:eastAsia="Times New Roman" w:hAnsi="Times New Roman" w:cs="Times New Roman"/>
          <w:color w:val="auto"/>
          <w:lang w:eastAsia="hr-HR"/>
        </w:rPr>
      </w:pPr>
    </w:p>
    <w:p w14:paraId="7A27097E" w14:textId="77777777" w:rsidR="000D3F32" w:rsidRDefault="000D3F32" w:rsidP="00FE3F63">
      <w:pPr>
        <w:pStyle w:val="Default"/>
        <w:jc w:val="both"/>
        <w:rPr>
          <w:rFonts w:ascii="Times New Roman" w:eastAsia="Times New Roman" w:hAnsi="Times New Roman" w:cs="Times New Roman"/>
          <w:color w:val="auto"/>
          <w:lang w:eastAsia="hr-HR"/>
        </w:rPr>
      </w:pPr>
    </w:p>
    <w:p w14:paraId="1F087E25" w14:textId="77777777" w:rsidR="000D3F32" w:rsidRDefault="000D3F32" w:rsidP="00FE3F63">
      <w:pPr>
        <w:pStyle w:val="Default"/>
        <w:jc w:val="both"/>
        <w:rPr>
          <w:rFonts w:ascii="Times New Roman" w:eastAsia="Times New Roman" w:hAnsi="Times New Roman" w:cs="Times New Roman"/>
          <w:color w:val="auto"/>
          <w:lang w:eastAsia="hr-HR"/>
        </w:rPr>
      </w:pPr>
    </w:p>
    <w:p w14:paraId="4AF1DA54" w14:textId="77777777" w:rsidR="000D3F32" w:rsidRDefault="000D3F32" w:rsidP="00FE3F63">
      <w:pPr>
        <w:pStyle w:val="Default"/>
        <w:jc w:val="both"/>
        <w:rPr>
          <w:rFonts w:ascii="Times New Roman" w:eastAsia="Times New Roman" w:hAnsi="Times New Roman" w:cs="Times New Roman"/>
          <w:color w:val="auto"/>
          <w:lang w:eastAsia="hr-HR"/>
        </w:rPr>
      </w:pPr>
    </w:p>
    <w:p w14:paraId="44448073" w14:textId="77777777" w:rsidR="000D3F32" w:rsidRDefault="000D3F32" w:rsidP="00FE3F63">
      <w:pPr>
        <w:pStyle w:val="Default"/>
        <w:jc w:val="both"/>
        <w:rPr>
          <w:rFonts w:ascii="Times New Roman" w:eastAsia="Times New Roman" w:hAnsi="Times New Roman" w:cs="Times New Roman"/>
          <w:color w:val="auto"/>
          <w:lang w:eastAsia="hr-HR"/>
        </w:rPr>
      </w:pPr>
    </w:p>
    <w:p w14:paraId="3AB09E44" w14:textId="77777777" w:rsidR="002D2682" w:rsidRDefault="002D2682">
      <w:pPr>
        <w:rPr>
          <w:rFonts w:ascii="Times New Roman" w:hAnsi="Times New Roman"/>
          <w:b/>
          <w:color w:val="000000"/>
        </w:rPr>
      </w:pPr>
      <w:r>
        <w:rPr>
          <w:rFonts w:ascii="Times New Roman" w:hAnsi="Times New Roman"/>
          <w:b/>
          <w:color w:val="000000"/>
        </w:rPr>
        <w:br w:type="page"/>
      </w:r>
    </w:p>
    <w:p w14:paraId="71608F08" w14:textId="0DF2E7BB" w:rsidR="007C5589" w:rsidRDefault="007C5589" w:rsidP="007C5589">
      <w:pPr>
        <w:widowControl w:val="0"/>
        <w:shd w:val="clear" w:color="auto" w:fill="DBE5F1" w:themeFill="accent1" w:themeFillTint="33"/>
        <w:tabs>
          <w:tab w:val="center" w:pos="7699"/>
        </w:tabs>
        <w:autoSpaceDE w:val="0"/>
        <w:autoSpaceDN w:val="0"/>
        <w:adjustRightInd w:val="0"/>
        <w:spacing w:after="0" w:line="240" w:lineRule="auto"/>
        <w:rPr>
          <w:rFonts w:ascii="Times New Roman" w:hAnsi="Times New Roman"/>
          <w:b/>
          <w:color w:val="000000"/>
        </w:rPr>
      </w:pPr>
      <w:r>
        <w:rPr>
          <w:rFonts w:ascii="Times New Roman" w:hAnsi="Times New Roman"/>
          <w:b/>
          <w:color w:val="000000"/>
        </w:rPr>
        <w:lastRenderedPageBreak/>
        <w:t>3</w:t>
      </w:r>
      <w:r w:rsidRPr="002A734C">
        <w:rPr>
          <w:rFonts w:ascii="Times New Roman" w:hAnsi="Times New Roman"/>
          <w:b/>
          <w:color w:val="000000"/>
        </w:rPr>
        <w:t>.</w:t>
      </w:r>
      <w:r>
        <w:rPr>
          <w:rFonts w:ascii="Times New Roman" w:hAnsi="Times New Roman"/>
          <w:b/>
          <w:color w:val="000000"/>
        </w:rPr>
        <w:t xml:space="preserve"> </w:t>
      </w:r>
      <w:r w:rsidRPr="002A734C">
        <w:rPr>
          <w:rFonts w:ascii="Times New Roman" w:hAnsi="Times New Roman"/>
          <w:b/>
          <w:color w:val="000000"/>
        </w:rPr>
        <w:t>POSEBNI IZVJEŠTAJI U GODIŠNJEM IZVJEŠTAJU O IZVRŠENJU PRORAČUNA</w:t>
      </w:r>
    </w:p>
    <w:p w14:paraId="205C1254" w14:textId="77777777" w:rsidR="007C5589" w:rsidRPr="002A734C" w:rsidRDefault="007C5589" w:rsidP="007C5589">
      <w:pPr>
        <w:widowControl w:val="0"/>
        <w:shd w:val="clear" w:color="auto" w:fill="FFFFFF" w:themeFill="background1"/>
        <w:tabs>
          <w:tab w:val="center" w:pos="7699"/>
        </w:tabs>
        <w:autoSpaceDE w:val="0"/>
        <w:autoSpaceDN w:val="0"/>
        <w:adjustRightInd w:val="0"/>
        <w:spacing w:after="0" w:line="240" w:lineRule="auto"/>
        <w:rPr>
          <w:rFonts w:ascii="Times New Roman" w:hAnsi="Times New Roman"/>
          <w:b/>
          <w:color w:val="000000"/>
        </w:rPr>
      </w:pPr>
    </w:p>
    <w:p w14:paraId="0737F411" w14:textId="77777777" w:rsidR="007C5589" w:rsidRPr="002A734C" w:rsidRDefault="007C5589" w:rsidP="007C5589">
      <w:pPr>
        <w:shd w:val="clear" w:color="auto" w:fill="DBE5F1" w:themeFill="accent1" w:themeFillTint="33"/>
        <w:spacing w:after="0" w:line="240" w:lineRule="auto"/>
        <w:rPr>
          <w:rFonts w:ascii="Times New Roman" w:hAnsi="Times New Roman"/>
          <w:b/>
        </w:rPr>
      </w:pPr>
      <w:r>
        <w:rPr>
          <w:rFonts w:ascii="Times New Roman" w:hAnsi="Times New Roman"/>
          <w:b/>
        </w:rPr>
        <w:t xml:space="preserve">3.1. </w:t>
      </w:r>
      <w:r w:rsidRPr="002A734C">
        <w:rPr>
          <w:rFonts w:ascii="Times New Roman" w:hAnsi="Times New Roman"/>
          <w:b/>
        </w:rPr>
        <w:t>IZVJEŠTAJ O KORIŠTENJU PRORAČUNSKE ZALIHE</w:t>
      </w:r>
    </w:p>
    <w:p w14:paraId="089AD199" w14:textId="77777777" w:rsidR="007C5589" w:rsidRDefault="007C5589" w:rsidP="007C5589">
      <w:pPr>
        <w:spacing w:after="0" w:line="240" w:lineRule="auto"/>
        <w:jc w:val="both"/>
        <w:rPr>
          <w:rFonts w:ascii="Times New Roman" w:hAnsi="Times New Roman"/>
        </w:rPr>
      </w:pPr>
    </w:p>
    <w:p w14:paraId="36678E82" w14:textId="37D918A3" w:rsidR="007C5589" w:rsidRPr="003E19C7" w:rsidRDefault="007C5589" w:rsidP="007C5589">
      <w:pPr>
        <w:spacing w:after="0" w:line="240" w:lineRule="auto"/>
        <w:jc w:val="both"/>
        <w:rPr>
          <w:rFonts w:ascii="Times New Roman" w:eastAsiaTheme="minorHAnsi" w:hAnsi="Times New Roman"/>
          <w:lang w:eastAsia="en-US"/>
        </w:rPr>
      </w:pPr>
      <w:r w:rsidRPr="003E19C7">
        <w:rPr>
          <w:rFonts w:ascii="Times New Roman" w:hAnsi="Times New Roman"/>
        </w:rPr>
        <w:t xml:space="preserve">Sukladno članku 65. Zakona o proračunu (Narodne novine broj 144/21) i članka </w:t>
      </w:r>
      <w:r w:rsidRPr="003E19C7">
        <w:rPr>
          <w:rFonts w:ascii="Times New Roman" w:eastAsiaTheme="minorHAnsi" w:hAnsi="Times New Roman"/>
          <w:lang w:eastAsia="en-US"/>
        </w:rPr>
        <w:t>15. Odluke o izvršenju Proračuna Općine Oprtalj za 202</w:t>
      </w:r>
      <w:r w:rsidR="009C73CC">
        <w:rPr>
          <w:rFonts w:ascii="Times New Roman" w:eastAsiaTheme="minorHAnsi" w:hAnsi="Times New Roman"/>
          <w:lang w:eastAsia="en-US"/>
        </w:rPr>
        <w:t>5</w:t>
      </w:r>
      <w:r w:rsidRPr="003E19C7">
        <w:rPr>
          <w:rFonts w:ascii="Times New Roman" w:eastAsiaTheme="minorHAnsi" w:hAnsi="Times New Roman"/>
          <w:lang w:eastAsia="en-US"/>
        </w:rPr>
        <w:t xml:space="preserve">. godinu </w:t>
      </w:r>
      <w:r w:rsidRPr="003E19C7">
        <w:rPr>
          <w:rFonts w:ascii="Times New Roman" w:hAnsi="Times New Roman"/>
        </w:rPr>
        <w:t>sredstva proračunske zalihe mogu se koristiti za nepredviđene namjene za koje u proračunu nisu osigurana sredstva ili za namjene za koje se tijekom godine pokaže da za njih nisu utvrđena dostatna sredstva jer ih pri planiranju proračuna nije bilo moguće predvidjeti.</w:t>
      </w:r>
    </w:p>
    <w:p w14:paraId="3DD2E658" w14:textId="77777777" w:rsidR="007C5589" w:rsidRPr="003E19C7" w:rsidRDefault="007C5589" w:rsidP="007C5589">
      <w:pPr>
        <w:spacing w:after="0" w:line="240" w:lineRule="auto"/>
        <w:jc w:val="both"/>
        <w:rPr>
          <w:rFonts w:ascii="Times New Roman" w:hAnsi="Times New Roman"/>
        </w:rPr>
      </w:pPr>
    </w:p>
    <w:p w14:paraId="5EDBA4FE" w14:textId="77777777" w:rsidR="007C5589" w:rsidRPr="003E19C7" w:rsidRDefault="007C5589" w:rsidP="007C5589">
      <w:pPr>
        <w:spacing w:after="0" w:line="240" w:lineRule="auto"/>
        <w:jc w:val="both"/>
        <w:rPr>
          <w:rFonts w:ascii="Times New Roman" w:hAnsi="Times New Roman"/>
        </w:rPr>
      </w:pPr>
      <w:r w:rsidRPr="003E19C7">
        <w:rPr>
          <w:rFonts w:ascii="Times New Roman" w:hAnsi="Times New Roman"/>
        </w:rPr>
        <w:t>Sredstva se mogu koristiti za financiranje rashoda nastalih pri otklanjanju posljedica elementarnih nepogoda, epidemija, ekoloških nesreća ili izvanrednih događaja i ostalih nepredvidivih nesreća, te za druge nepredviđene rashode tijekom godine.</w:t>
      </w:r>
    </w:p>
    <w:p w14:paraId="2B559B1C" w14:textId="77777777" w:rsidR="007C5589" w:rsidRDefault="007C5589" w:rsidP="007C5589">
      <w:pPr>
        <w:spacing w:after="0" w:line="240" w:lineRule="auto"/>
        <w:rPr>
          <w:rFonts w:ascii="Times New Roman" w:hAnsi="Times New Roman"/>
        </w:rPr>
      </w:pPr>
    </w:p>
    <w:p w14:paraId="0E2C5E29" w14:textId="43D04B49" w:rsidR="007C5589" w:rsidRPr="003E19C7" w:rsidRDefault="007C5589" w:rsidP="007C5589">
      <w:pPr>
        <w:spacing w:after="0" w:line="240" w:lineRule="auto"/>
        <w:rPr>
          <w:rFonts w:ascii="Times New Roman" w:hAnsi="Times New Roman"/>
        </w:rPr>
      </w:pPr>
      <w:r w:rsidRPr="003E19C7">
        <w:rPr>
          <w:rFonts w:ascii="Times New Roman" w:hAnsi="Times New Roman"/>
        </w:rPr>
        <w:t xml:space="preserve">U </w:t>
      </w:r>
      <w:r w:rsidR="009C73CC">
        <w:rPr>
          <w:rFonts w:ascii="Times New Roman" w:hAnsi="Times New Roman"/>
        </w:rPr>
        <w:t>2025</w:t>
      </w:r>
      <w:r w:rsidR="00225BE5">
        <w:rPr>
          <w:rFonts w:ascii="Times New Roman" w:hAnsi="Times New Roman"/>
        </w:rPr>
        <w:t>. godini</w:t>
      </w:r>
      <w:r w:rsidRPr="003E19C7">
        <w:rPr>
          <w:rFonts w:ascii="Times New Roman" w:hAnsi="Times New Roman"/>
        </w:rPr>
        <w:t xml:space="preserve"> nisu korištena sredstva proračunske zalihe.</w:t>
      </w:r>
    </w:p>
    <w:p w14:paraId="57250E54" w14:textId="77777777" w:rsidR="007C5589" w:rsidRPr="003E19C7" w:rsidRDefault="007C5589" w:rsidP="007C5589">
      <w:pPr>
        <w:widowControl w:val="0"/>
        <w:tabs>
          <w:tab w:val="center" w:pos="7699"/>
        </w:tabs>
        <w:autoSpaceDE w:val="0"/>
        <w:autoSpaceDN w:val="0"/>
        <w:adjustRightInd w:val="0"/>
        <w:spacing w:after="0" w:line="240" w:lineRule="auto"/>
        <w:rPr>
          <w:rFonts w:ascii="Times New Roman" w:hAnsi="Times New Roman"/>
          <w:bCs/>
          <w:color w:val="000000"/>
        </w:rPr>
      </w:pPr>
    </w:p>
    <w:p w14:paraId="43A398A3" w14:textId="77777777" w:rsidR="007C5589" w:rsidRDefault="007C5589" w:rsidP="007C5589">
      <w:pPr>
        <w:widowControl w:val="0"/>
        <w:tabs>
          <w:tab w:val="center" w:pos="7699"/>
        </w:tabs>
        <w:autoSpaceDE w:val="0"/>
        <w:autoSpaceDN w:val="0"/>
        <w:adjustRightInd w:val="0"/>
        <w:spacing w:after="0" w:line="240" w:lineRule="auto"/>
        <w:rPr>
          <w:rFonts w:ascii="Times New Roman" w:hAnsi="Times New Roman"/>
          <w:bCs/>
          <w:color w:val="000000"/>
        </w:rPr>
      </w:pPr>
    </w:p>
    <w:p w14:paraId="7623832C" w14:textId="77777777" w:rsidR="007C5589" w:rsidRPr="003E19C7" w:rsidRDefault="007C5589" w:rsidP="007C5589">
      <w:pPr>
        <w:widowControl w:val="0"/>
        <w:tabs>
          <w:tab w:val="center" w:pos="7699"/>
        </w:tabs>
        <w:autoSpaceDE w:val="0"/>
        <w:autoSpaceDN w:val="0"/>
        <w:adjustRightInd w:val="0"/>
        <w:spacing w:after="0" w:line="240" w:lineRule="auto"/>
        <w:rPr>
          <w:rFonts w:ascii="Times New Roman" w:hAnsi="Times New Roman"/>
          <w:bCs/>
          <w:color w:val="000000"/>
        </w:rPr>
      </w:pPr>
    </w:p>
    <w:p w14:paraId="4B6C26A5" w14:textId="77777777" w:rsidR="007C5589" w:rsidRPr="002A734C" w:rsidRDefault="007C5589" w:rsidP="007C5589">
      <w:pPr>
        <w:shd w:val="clear" w:color="auto" w:fill="DBE5F1" w:themeFill="accent1" w:themeFillTint="33"/>
        <w:spacing w:after="0" w:line="240" w:lineRule="auto"/>
        <w:jc w:val="both"/>
        <w:rPr>
          <w:rFonts w:ascii="Times New Roman" w:hAnsi="Times New Roman"/>
          <w:b/>
          <w:iCs/>
        </w:rPr>
      </w:pPr>
      <w:r>
        <w:rPr>
          <w:rFonts w:ascii="Times New Roman" w:hAnsi="Times New Roman"/>
          <w:b/>
          <w:iCs/>
        </w:rPr>
        <w:t>3</w:t>
      </w:r>
      <w:r w:rsidRPr="002A734C">
        <w:rPr>
          <w:rFonts w:ascii="Times New Roman" w:hAnsi="Times New Roman"/>
          <w:b/>
          <w:iCs/>
        </w:rPr>
        <w:t>.2.</w:t>
      </w:r>
      <w:r>
        <w:rPr>
          <w:rFonts w:ascii="Times New Roman" w:hAnsi="Times New Roman"/>
          <w:b/>
          <w:iCs/>
        </w:rPr>
        <w:t xml:space="preserve"> </w:t>
      </w:r>
      <w:r w:rsidRPr="002A734C">
        <w:rPr>
          <w:rFonts w:ascii="Times New Roman" w:hAnsi="Times New Roman"/>
          <w:b/>
          <w:iCs/>
        </w:rPr>
        <w:t>IZVJEŠTAJ O ZADUŽIVANJU NA DOMAĆEM I STRANOM TRŽIŠTU NOVCA I KAPITALA</w:t>
      </w:r>
    </w:p>
    <w:p w14:paraId="0F1364EE" w14:textId="77777777" w:rsidR="007C5589" w:rsidRDefault="007C5589" w:rsidP="007C5589">
      <w:pPr>
        <w:spacing w:after="0" w:line="240" w:lineRule="auto"/>
        <w:jc w:val="both"/>
        <w:rPr>
          <w:rFonts w:ascii="Times New Roman" w:hAnsi="Times New Roman"/>
        </w:rPr>
      </w:pPr>
    </w:p>
    <w:p w14:paraId="7613C1E5" w14:textId="77777777" w:rsidR="007C5589" w:rsidRPr="003E19C7" w:rsidRDefault="007C5589" w:rsidP="007C5589">
      <w:pPr>
        <w:spacing w:after="0" w:line="240" w:lineRule="auto"/>
        <w:jc w:val="both"/>
        <w:rPr>
          <w:rFonts w:ascii="Times New Roman" w:hAnsi="Times New Roman"/>
        </w:rPr>
      </w:pPr>
      <w:r w:rsidRPr="003E19C7">
        <w:rPr>
          <w:rFonts w:ascii="Times New Roman" w:hAnsi="Times New Roman"/>
        </w:rPr>
        <w:t xml:space="preserve">Izvještaj o zaduživanju na domaćem i stranom tržištu novca i kapitala daje pregled zaduživanja po dugoročnim kreditima, zajmovima i vrijednosnim papirima koje je ugovorila i preuzela jedinica lokalne i područne (regionalne) samouprave u izvještajnom razdoblju, po vrsti instrumenata, valutnoj, kamatnoj i ročnoj strukturi. </w:t>
      </w:r>
    </w:p>
    <w:p w14:paraId="6F025A4F" w14:textId="77777777" w:rsidR="007C5589" w:rsidRPr="003E19C7" w:rsidRDefault="007C5589" w:rsidP="007C5589">
      <w:pPr>
        <w:spacing w:after="0" w:line="240" w:lineRule="auto"/>
        <w:jc w:val="both"/>
        <w:rPr>
          <w:rFonts w:ascii="Times New Roman" w:hAnsi="Times New Roman"/>
        </w:rPr>
      </w:pPr>
      <w:r w:rsidRPr="003E19C7">
        <w:rPr>
          <w:rFonts w:ascii="Times New Roman" w:hAnsi="Times New Roman"/>
        </w:rPr>
        <w:t xml:space="preserve">U izvještajnom razdoblju Općina Oprtalj nije preuzela nove kredite ili zajmove, već su izvršene isplate glavnica i kamata za ranije ugovorene kredite kako je navedeno u nastavku. </w:t>
      </w:r>
    </w:p>
    <w:p w14:paraId="484F8D19" w14:textId="77777777" w:rsidR="007C5589" w:rsidRPr="003E19C7" w:rsidRDefault="007C5589" w:rsidP="007C5589">
      <w:pPr>
        <w:spacing w:after="0" w:line="240" w:lineRule="auto"/>
        <w:jc w:val="both"/>
        <w:rPr>
          <w:rFonts w:ascii="Times New Roman" w:hAnsi="Times New Roman"/>
        </w:rPr>
      </w:pPr>
    </w:p>
    <w:p w14:paraId="2EE4D06D" w14:textId="755463B6" w:rsidR="007C5589" w:rsidRPr="003E19C7" w:rsidRDefault="007C5589" w:rsidP="007C5589">
      <w:pPr>
        <w:spacing w:after="0" w:line="240" w:lineRule="auto"/>
        <w:jc w:val="both"/>
        <w:rPr>
          <w:rFonts w:ascii="Times New Roman" w:hAnsi="Times New Roman"/>
        </w:rPr>
      </w:pPr>
      <w:r w:rsidRPr="003E19C7">
        <w:rPr>
          <w:rFonts w:ascii="Times New Roman" w:eastAsiaTheme="minorHAnsi" w:hAnsi="Times New Roman"/>
          <w:lang w:eastAsia="en-US"/>
        </w:rPr>
        <w:t>Člankom 19. Odluke o izvršenju Proračuna Općine Oprtalj za 202</w:t>
      </w:r>
      <w:r w:rsidR="009C73CC">
        <w:rPr>
          <w:rFonts w:ascii="Times New Roman" w:eastAsiaTheme="minorHAnsi" w:hAnsi="Times New Roman"/>
          <w:lang w:eastAsia="en-US"/>
        </w:rPr>
        <w:t>5</w:t>
      </w:r>
      <w:r w:rsidRPr="003E19C7">
        <w:rPr>
          <w:rFonts w:ascii="Times New Roman" w:eastAsiaTheme="minorHAnsi" w:hAnsi="Times New Roman"/>
          <w:lang w:eastAsia="en-US"/>
        </w:rPr>
        <w:t xml:space="preserve">. godinu </w:t>
      </w:r>
      <w:r w:rsidRPr="003E19C7">
        <w:rPr>
          <w:rFonts w:ascii="Times New Roman" w:hAnsi="Times New Roman"/>
        </w:rPr>
        <w:t xml:space="preserve">propisano je da se općina  može se zaduživati uzimanjem kredita i izdavanjem vrijednosnih papira. Jedinica lokalne samouprave može se dugoročno zadužiti samo za investicije koja se financiraju iz njezina </w:t>
      </w:r>
      <w:r>
        <w:rPr>
          <w:rFonts w:ascii="Times New Roman" w:hAnsi="Times New Roman"/>
        </w:rPr>
        <w:t>p</w:t>
      </w:r>
      <w:r w:rsidRPr="003E19C7">
        <w:rPr>
          <w:rFonts w:ascii="Times New Roman" w:hAnsi="Times New Roman"/>
        </w:rPr>
        <w:t>roračuna a koje potvrdi njezino predstavničko tijelo uz prethodnu suglasnost Vlade.</w:t>
      </w:r>
    </w:p>
    <w:p w14:paraId="7B9EFE1B" w14:textId="77777777" w:rsidR="009C73CC" w:rsidRPr="009C73CC" w:rsidRDefault="009C73CC" w:rsidP="009C73CC">
      <w:pPr>
        <w:autoSpaceDE w:val="0"/>
        <w:autoSpaceDN w:val="0"/>
        <w:adjustRightInd w:val="0"/>
        <w:spacing w:after="0" w:line="240" w:lineRule="auto"/>
        <w:jc w:val="both"/>
        <w:rPr>
          <w:rFonts w:ascii="Times New Roman" w:eastAsiaTheme="minorHAnsi" w:hAnsi="Times New Roman"/>
          <w:sz w:val="24"/>
          <w:szCs w:val="24"/>
          <w:lang w:eastAsia="en-US"/>
        </w:rPr>
      </w:pPr>
    </w:p>
    <w:p w14:paraId="1D87437A" w14:textId="77777777" w:rsidR="009C73CC" w:rsidRPr="003E19C7" w:rsidRDefault="009C73CC" w:rsidP="009C73CC">
      <w:pPr>
        <w:autoSpaceDE w:val="0"/>
        <w:autoSpaceDN w:val="0"/>
        <w:adjustRightInd w:val="0"/>
        <w:spacing w:after="0" w:line="240" w:lineRule="auto"/>
        <w:jc w:val="both"/>
        <w:rPr>
          <w:rFonts w:ascii="Times New Roman" w:eastAsiaTheme="minorHAnsi" w:hAnsi="Times New Roman"/>
          <w:b/>
          <w:bCs/>
          <w:i/>
          <w:lang w:eastAsia="en-US"/>
        </w:rPr>
      </w:pPr>
      <w:r w:rsidRPr="003E19C7">
        <w:rPr>
          <w:rFonts w:ascii="Times New Roman" w:hAnsi="Times New Roman"/>
          <w:b/>
          <w:bCs/>
        </w:rPr>
        <w:t xml:space="preserve">Kredit kod </w:t>
      </w:r>
      <w:r>
        <w:rPr>
          <w:rFonts w:ascii="Times New Roman" w:hAnsi="Times New Roman"/>
          <w:b/>
          <w:bCs/>
        </w:rPr>
        <w:t>Z</w:t>
      </w:r>
      <w:r w:rsidRPr="003E19C7">
        <w:rPr>
          <w:rFonts w:ascii="Times New Roman" w:hAnsi="Times New Roman"/>
          <w:b/>
          <w:bCs/>
        </w:rPr>
        <w:t>agrebačke banke</w:t>
      </w:r>
      <w:r>
        <w:rPr>
          <w:rFonts w:ascii="Times New Roman" w:hAnsi="Times New Roman"/>
          <w:b/>
          <w:bCs/>
        </w:rPr>
        <w:t xml:space="preserve"> d.d.</w:t>
      </w:r>
    </w:p>
    <w:p w14:paraId="693467EC" w14:textId="77777777" w:rsidR="009C73CC" w:rsidRPr="003E19C7" w:rsidRDefault="009C73CC" w:rsidP="009C73CC">
      <w:pPr>
        <w:autoSpaceDE w:val="0"/>
        <w:autoSpaceDN w:val="0"/>
        <w:adjustRightInd w:val="0"/>
        <w:spacing w:after="0" w:line="240" w:lineRule="auto"/>
        <w:jc w:val="both"/>
        <w:rPr>
          <w:rFonts w:ascii="Times New Roman" w:eastAsiaTheme="minorHAnsi" w:hAnsi="Times New Roman"/>
          <w:lang w:eastAsia="en-US"/>
        </w:rPr>
      </w:pPr>
      <w:r w:rsidRPr="003E19C7">
        <w:rPr>
          <w:rFonts w:ascii="Times New Roman" w:eastAsiaTheme="minorHAnsi" w:hAnsi="Times New Roman"/>
          <w:bCs/>
          <w:iCs/>
          <w:lang w:eastAsia="en-US"/>
        </w:rPr>
        <w:t>Dana 07. srpnja 2014. godine sklopljen je Ugovor o dugoročnom kunskom kreditu s</w:t>
      </w:r>
      <w:r w:rsidRPr="003E19C7">
        <w:rPr>
          <w:rFonts w:ascii="Times New Roman" w:eastAsiaTheme="minorHAnsi" w:hAnsi="Times New Roman"/>
          <w:lang w:eastAsia="en-US"/>
        </w:rPr>
        <w:t xml:space="preserve"> Zagrebačkom bankom d.d. u iznosu od 3.500.000,00 kuna. Radi se o dugoročnom, kunskom, namjenskom kreditu za rekonstrukciju nerazvrstanih cesta “Bazjaki, Balini-Krajići, Lubiani-Balini, Škeri-Štelki, Kalegarići, Sv. Lu</w:t>
      </w:r>
      <w:r>
        <w:rPr>
          <w:rFonts w:ascii="Times New Roman" w:eastAsiaTheme="minorHAnsi" w:hAnsi="Times New Roman"/>
          <w:lang w:eastAsia="en-US"/>
        </w:rPr>
        <w:t>C</w:t>
      </w:r>
      <w:r w:rsidRPr="003E19C7">
        <w:rPr>
          <w:rFonts w:ascii="Times New Roman" w:eastAsiaTheme="minorHAnsi" w:hAnsi="Times New Roman"/>
          <w:lang w:eastAsia="en-US"/>
        </w:rPr>
        <w:t xml:space="preserve">ija-Jadroni-Šegalini (spoj Laganisi) u Općini Oprtalj putem IPARD Programa. </w:t>
      </w:r>
    </w:p>
    <w:p w14:paraId="1A83C950" w14:textId="77777777" w:rsidR="009C73CC" w:rsidRDefault="009C73CC" w:rsidP="009C73CC">
      <w:pPr>
        <w:autoSpaceDE w:val="0"/>
        <w:autoSpaceDN w:val="0"/>
        <w:adjustRightInd w:val="0"/>
        <w:spacing w:after="0" w:line="240" w:lineRule="auto"/>
        <w:jc w:val="both"/>
        <w:rPr>
          <w:rFonts w:ascii="Times New Roman" w:eastAsiaTheme="minorHAnsi" w:hAnsi="Times New Roman"/>
          <w:lang w:eastAsia="en-US"/>
        </w:rPr>
      </w:pPr>
      <w:r w:rsidRPr="003E19C7">
        <w:rPr>
          <w:rFonts w:ascii="Times New Roman" w:eastAsiaTheme="minorHAnsi" w:hAnsi="Times New Roman"/>
          <w:lang w:eastAsia="en-US"/>
        </w:rPr>
        <w:t xml:space="preserve">Kredit je odobren uz redovnu fiksnu kamatnu stopu od 3,35%. Kamata se obračunava i naplaćuje tromjesečno. Rok otplate kredita je 120 mjeseci. U </w:t>
      </w:r>
      <w:r>
        <w:rPr>
          <w:rFonts w:ascii="Times New Roman" w:eastAsiaTheme="minorHAnsi" w:hAnsi="Times New Roman"/>
          <w:lang w:eastAsia="en-US"/>
        </w:rPr>
        <w:t>2025. godini</w:t>
      </w:r>
      <w:r w:rsidRPr="003E19C7">
        <w:rPr>
          <w:rFonts w:ascii="Times New Roman" w:eastAsiaTheme="minorHAnsi" w:hAnsi="Times New Roman"/>
          <w:lang w:eastAsia="en-US"/>
        </w:rPr>
        <w:t xml:space="preserve"> otplaćeno je ukupno </w:t>
      </w:r>
      <w:r>
        <w:rPr>
          <w:rFonts w:ascii="Times New Roman" w:eastAsiaTheme="minorHAnsi" w:hAnsi="Times New Roman"/>
          <w:lang w:eastAsia="en-US"/>
        </w:rPr>
        <w:t>5.727,25</w:t>
      </w:r>
      <w:r w:rsidRPr="003E19C7">
        <w:rPr>
          <w:rFonts w:ascii="Times New Roman" w:eastAsiaTheme="minorHAnsi" w:hAnsi="Times New Roman"/>
          <w:lang w:eastAsia="en-US"/>
        </w:rPr>
        <w:t xml:space="preserve"> EUR glavnice i </w:t>
      </w:r>
      <w:r>
        <w:rPr>
          <w:rFonts w:ascii="Times New Roman" w:eastAsiaTheme="minorHAnsi" w:hAnsi="Times New Roman"/>
          <w:lang w:eastAsia="en-US"/>
        </w:rPr>
        <w:t>47,30</w:t>
      </w:r>
      <w:r w:rsidRPr="003E19C7">
        <w:rPr>
          <w:rFonts w:ascii="Times New Roman" w:eastAsiaTheme="minorHAnsi" w:hAnsi="Times New Roman"/>
          <w:lang w:eastAsia="en-US"/>
        </w:rPr>
        <w:t xml:space="preserve"> EUR kamata.</w:t>
      </w:r>
      <w:r>
        <w:rPr>
          <w:rFonts w:ascii="Times New Roman" w:eastAsiaTheme="minorHAnsi" w:hAnsi="Times New Roman"/>
          <w:lang w:eastAsia="en-US"/>
        </w:rPr>
        <w:t xml:space="preserve"> Kredit je u potpunosti otplaćen.</w:t>
      </w:r>
    </w:p>
    <w:p w14:paraId="182CEAF9" w14:textId="2E17D697" w:rsidR="00C961E6" w:rsidRDefault="00C961E6" w:rsidP="00C961E6">
      <w:pPr>
        <w:autoSpaceDE w:val="0"/>
        <w:autoSpaceDN w:val="0"/>
        <w:adjustRightInd w:val="0"/>
        <w:spacing w:after="0" w:line="240" w:lineRule="auto"/>
        <w:jc w:val="both"/>
        <w:rPr>
          <w:rFonts w:ascii="Times New Roman" w:eastAsiaTheme="minorHAnsi" w:hAnsi="Times New Roman"/>
          <w:sz w:val="24"/>
          <w:szCs w:val="24"/>
          <w:lang w:eastAsia="en-US"/>
        </w:rPr>
      </w:pPr>
    </w:p>
    <w:p w14:paraId="015BFA23"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2D25C9E9" w14:textId="77777777" w:rsidR="00C961E6" w:rsidRDefault="00C961E6" w:rsidP="007C5589">
      <w:pPr>
        <w:autoSpaceDE w:val="0"/>
        <w:autoSpaceDN w:val="0"/>
        <w:adjustRightInd w:val="0"/>
        <w:spacing w:after="0" w:line="240" w:lineRule="auto"/>
        <w:jc w:val="both"/>
        <w:rPr>
          <w:rFonts w:ascii="Times New Roman" w:eastAsiaTheme="minorHAnsi" w:hAnsi="Times New Roman"/>
          <w:b/>
          <w:bCs/>
          <w:lang w:eastAsia="en-US"/>
        </w:rPr>
      </w:pPr>
    </w:p>
    <w:p w14:paraId="5D48FDC4" w14:textId="77777777" w:rsidR="00C961E6" w:rsidRDefault="00C961E6" w:rsidP="007C5589">
      <w:pPr>
        <w:autoSpaceDE w:val="0"/>
        <w:autoSpaceDN w:val="0"/>
        <w:adjustRightInd w:val="0"/>
        <w:spacing w:after="0" w:line="240" w:lineRule="auto"/>
        <w:jc w:val="both"/>
        <w:rPr>
          <w:rFonts w:ascii="Times New Roman" w:eastAsiaTheme="minorHAnsi" w:hAnsi="Times New Roman"/>
          <w:b/>
          <w:bCs/>
          <w:lang w:eastAsia="en-US"/>
        </w:rPr>
      </w:pPr>
    </w:p>
    <w:p w14:paraId="252BCC8E" w14:textId="77777777" w:rsidR="00C961E6" w:rsidRDefault="00C961E6" w:rsidP="007C5589">
      <w:pPr>
        <w:autoSpaceDE w:val="0"/>
        <w:autoSpaceDN w:val="0"/>
        <w:adjustRightInd w:val="0"/>
        <w:spacing w:after="0" w:line="240" w:lineRule="auto"/>
        <w:jc w:val="both"/>
        <w:rPr>
          <w:rFonts w:ascii="Times New Roman" w:eastAsiaTheme="minorHAnsi" w:hAnsi="Times New Roman"/>
          <w:b/>
          <w:bCs/>
          <w:lang w:eastAsia="en-US"/>
        </w:rPr>
      </w:pPr>
    </w:p>
    <w:p w14:paraId="3B916802" w14:textId="77777777" w:rsidR="00C961E6" w:rsidRDefault="00C961E6" w:rsidP="007C5589">
      <w:pPr>
        <w:autoSpaceDE w:val="0"/>
        <w:autoSpaceDN w:val="0"/>
        <w:adjustRightInd w:val="0"/>
        <w:spacing w:after="0" w:line="240" w:lineRule="auto"/>
        <w:jc w:val="both"/>
        <w:rPr>
          <w:rFonts w:ascii="Times New Roman" w:eastAsiaTheme="minorHAnsi" w:hAnsi="Times New Roman"/>
          <w:b/>
          <w:bCs/>
          <w:lang w:eastAsia="en-US"/>
        </w:rPr>
      </w:pPr>
    </w:p>
    <w:p w14:paraId="1B268F57" w14:textId="77777777" w:rsidR="00C961E6" w:rsidRDefault="00C961E6" w:rsidP="007C5589">
      <w:pPr>
        <w:autoSpaceDE w:val="0"/>
        <w:autoSpaceDN w:val="0"/>
        <w:adjustRightInd w:val="0"/>
        <w:spacing w:after="0" w:line="240" w:lineRule="auto"/>
        <w:jc w:val="both"/>
        <w:rPr>
          <w:rFonts w:ascii="Times New Roman" w:eastAsiaTheme="minorHAnsi" w:hAnsi="Times New Roman"/>
          <w:b/>
          <w:bCs/>
          <w:lang w:eastAsia="en-US"/>
        </w:rPr>
      </w:pPr>
    </w:p>
    <w:p w14:paraId="7022CB23" w14:textId="77777777" w:rsidR="00A055AD" w:rsidRDefault="00A055AD" w:rsidP="007C5589">
      <w:pPr>
        <w:autoSpaceDE w:val="0"/>
        <w:autoSpaceDN w:val="0"/>
        <w:adjustRightInd w:val="0"/>
        <w:spacing w:after="0" w:line="240" w:lineRule="auto"/>
        <w:jc w:val="both"/>
        <w:rPr>
          <w:rFonts w:ascii="Times New Roman" w:eastAsiaTheme="minorHAnsi" w:hAnsi="Times New Roman"/>
          <w:b/>
          <w:bCs/>
          <w:lang w:eastAsia="en-US"/>
        </w:rPr>
      </w:pPr>
    </w:p>
    <w:p w14:paraId="4097B0C9"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620C6875" w14:textId="77777777" w:rsidR="009C73CC" w:rsidRDefault="009C73CC" w:rsidP="007C5589">
      <w:pPr>
        <w:autoSpaceDE w:val="0"/>
        <w:autoSpaceDN w:val="0"/>
        <w:adjustRightInd w:val="0"/>
        <w:spacing w:after="0" w:line="240" w:lineRule="auto"/>
        <w:jc w:val="both"/>
        <w:rPr>
          <w:rFonts w:ascii="Times New Roman" w:eastAsiaTheme="minorHAnsi" w:hAnsi="Times New Roman"/>
          <w:b/>
          <w:bCs/>
          <w:lang w:eastAsia="en-US"/>
        </w:rPr>
      </w:pPr>
    </w:p>
    <w:p w14:paraId="1665DEF9"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5D27AE21"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56500041"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56269667"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2164D0A0"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33A4507C" w14:textId="625B19E5" w:rsidR="007C5589" w:rsidRPr="00C961E6" w:rsidRDefault="007C5589" w:rsidP="007C5589">
      <w:pPr>
        <w:autoSpaceDE w:val="0"/>
        <w:autoSpaceDN w:val="0"/>
        <w:adjustRightInd w:val="0"/>
        <w:spacing w:after="0" w:line="240" w:lineRule="auto"/>
        <w:jc w:val="both"/>
        <w:rPr>
          <w:rFonts w:ascii="Times New Roman" w:hAnsi="Times New Roman"/>
          <w:b/>
          <w:bCs/>
          <w:sz w:val="20"/>
          <w:szCs w:val="20"/>
        </w:rPr>
      </w:pPr>
      <w:r w:rsidRPr="00C961E6">
        <w:rPr>
          <w:rFonts w:ascii="Times New Roman" w:eastAsiaTheme="minorHAnsi" w:hAnsi="Times New Roman"/>
          <w:b/>
          <w:bCs/>
          <w:sz w:val="20"/>
          <w:szCs w:val="20"/>
          <w:lang w:eastAsia="en-US"/>
        </w:rPr>
        <w:lastRenderedPageBreak/>
        <w:t>Tablica broj</w:t>
      </w:r>
      <w:r w:rsidR="00C961E6" w:rsidRPr="00C961E6">
        <w:rPr>
          <w:rFonts w:ascii="Times New Roman" w:eastAsiaTheme="minorHAnsi" w:hAnsi="Times New Roman"/>
          <w:b/>
          <w:bCs/>
          <w:sz w:val="20"/>
          <w:szCs w:val="20"/>
          <w:lang w:eastAsia="en-US"/>
        </w:rPr>
        <w:t xml:space="preserve"> 11</w:t>
      </w:r>
      <w:r w:rsidRPr="00C961E6">
        <w:rPr>
          <w:rFonts w:ascii="Times New Roman" w:eastAsiaTheme="minorHAnsi" w:hAnsi="Times New Roman"/>
          <w:b/>
          <w:bCs/>
          <w:sz w:val="20"/>
          <w:szCs w:val="20"/>
          <w:lang w:eastAsia="en-US"/>
        </w:rPr>
        <w:t xml:space="preserve">: </w:t>
      </w:r>
      <w:r w:rsidRPr="00C961E6">
        <w:rPr>
          <w:rFonts w:ascii="Times New Roman" w:hAnsi="Times New Roman"/>
          <w:b/>
          <w:bCs/>
          <w:sz w:val="20"/>
          <w:szCs w:val="20"/>
        </w:rPr>
        <w:t xml:space="preserve">Kredit Zagrebačke banke d.d. – pregled obaveza za glavnicu i kamate po godinama </w:t>
      </w:r>
    </w:p>
    <w:p w14:paraId="41B06E07" w14:textId="77777777" w:rsidR="007C5589" w:rsidRPr="00162DE6" w:rsidRDefault="007C5589" w:rsidP="007C5589">
      <w:pPr>
        <w:autoSpaceDE w:val="0"/>
        <w:autoSpaceDN w:val="0"/>
        <w:adjustRightInd w:val="0"/>
        <w:spacing w:after="0" w:line="240" w:lineRule="auto"/>
        <w:jc w:val="both"/>
        <w:rPr>
          <w:rFonts w:ascii="Times New Roman" w:hAnsi="Times New Roman"/>
          <w:b/>
          <w:bCs/>
          <w:i/>
          <w:sz w:val="20"/>
          <w:szCs w:val="20"/>
        </w:rPr>
      </w:pPr>
    </w:p>
    <w:tbl>
      <w:tblPr>
        <w:tblW w:w="10017" w:type="dxa"/>
        <w:tblLook w:val="04A0" w:firstRow="1" w:lastRow="0" w:firstColumn="1" w:lastColumn="0" w:noHBand="0" w:noVBand="1"/>
      </w:tblPr>
      <w:tblGrid>
        <w:gridCol w:w="1134"/>
        <w:gridCol w:w="1276"/>
        <w:gridCol w:w="1217"/>
        <w:gridCol w:w="1051"/>
        <w:gridCol w:w="1418"/>
        <w:gridCol w:w="1984"/>
        <w:gridCol w:w="789"/>
        <w:gridCol w:w="912"/>
        <w:gridCol w:w="236"/>
      </w:tblGrid>
      <w:tr w:rsidR="007C5589" w:rsidRPr="009E4A49" w14:paraId="54C79069" w14:textId="77777777" w:rsidTr="009267B2">
        <w:trPr>
          <w:trHeight w:val="300"/>
        </w:trPr>
        <w:tc>
          <w:tcPr>
            <w:tcW w:w="9781" w:type="dxa"/>
            <w:gridSpan w:val="8"/>
            <w:tcBorders>
              <w:top w:val="nil"/>
              <w:left w:val="nil"/>
              <w:bottom w:val="nil"/>
              <w:right w:val="nil"/>
            </w:tcBorders>
            <w:shd w:val="clear" w:color="auto" w:fill="D9D9D9" w:themeFill="background1" w:themeFillShade="D9"/>
            <w:noWrap/>
            <w:vAlign w:val="bottom"/>
            <w:hideMark/>
          </w:tcPr>
          <w:p w14:paraId="2879D93D" w14:textId="77777777" w:rsidR="007C5589" w:rsidRPr="009E4A49" w:rsidRDefault="007C5589" w:rsidP="001870D6">
            <w:pPr>
              <w:spacing w:after="0" w:line="240" w:lineRule="auto"/>
              <w:jc w:val="center"/>
              <w:rPr>
                <w:rFonts w:ascii="Times New Roman" w:hAnsi="Times New Roman"/>
                <w:b/>
                <w:bCs/>
                <w:color w:val="000000"/>
                <w:sz w:val="16"/>
                <w:szCs w:val="16"/>
              </w:rPr>
            </w:pPr>
            <w:r w:rsidRPr="009E4A49">
              <w:rPr>
                <w:rFonts w:ascii="Times New Roman" w:hAnsi="Times New Roman"/>
                <w:b/>
                <w:bCs/>
                <w:color w:val="000000"/>
                <w:sz w:val="16"/>
                <w:szCs w:val="16"/>
              </w:rPr>
              <w:t>ZADUŽENJE ZA NAMJENSKI KREDIT - OTPLATNI PLAN U K</w:t>
            </w:r>
            <w:r>
              <w:rPr>
                <w:rFonts w:ascii="Times New Roman" w:hAnsi="Times New Roman"/>
                <w:b/>
                <w:bCs/>
                <w:color w:val="000000"/>
                <w:sz w:val="16"/>
                <w:szCs w:val="16"/>
              </w:rPr>
              <w:t>U</w:t>
            </w:r>
            <w:r w:rsidRPr="009E4A49">
              <w:rPr>
                <w:rFonts w:ascii="Times New Roman" w:hAnsi="Times New Roman"/>
                <w:b/>
                <w:bCs/>
                <w:color w:val="000000"/>
                <w:sz w:val="16"/>
                <w:szCs w:val="16"/>
              </w:rPr>
              <w:t>NMA</w:t>
            </w:r>
          </w:p>
        </w:tc>
        <w:tc>
          <w:tcPr>
            <w:tcW w:w="236" w:type="dxa"/>
            <w:tcBorders>
              <w:top w:val="nil"/>
              <w:left w:val="nil"/>
              <w:bottom w:val="nil"/>
              <w:right w:val="nil"/>
            </w:tcBorders>
            <w:shd w:val="clear" w:color="auto" w:fill="D9D9D9" w:themeFill="background1" w:themeFillShade="D9"/>
            <w:noWrap/>
            <w:vAlign w:val="bottom"/>
            <w:hideMark/>
          </w:tcPr>
          <w:p w14:paraId="658FB2B4" w14:textId="77777777" w:rsidR="007C5589" w:rsidRPr="009E4A49" w:rsidRDefault="007C5589" w:rsidP="001870D6">
            <w:pPr>
              <w:spacing w:after="0" w:line="240" w:lineRule="auto"/>
              <w:jc w:val="center"/>
              <w:rPr>
                <w:rFonts w:ascii="Times New Roman" w:hAnsi="Times New Roman"/>
                <w:color w:val="000000"/>
                <w:sz w:val="16"/>
                <w:szCs w:val="16"/>
              </w:rPr>
            </w:pPr>
          </w:p>
        </w:tc>
      </w:tr>
      <w:tr w:rsidR="007C5589" w:rsidRPr="009E4A49" w14:paraId="31755A8D" w14:textId="77777777" w:rsidTr="009267B2">
        <w:trPr>
          <w:trHeight w:val="300"/>
        </w:trPr>
        <w:tc>
          <w:tcPr>
            <w:tcW w:w="4678" w:type="dxa"/>
            <w:gridSpan w:val="4"/>
            <w:tcBorders>
              <w:top w:val="nil"/>
              <w:left w:val="nil"/>
              <w:bottom w:val="nil"/>
              <w:right w:val="nil"/>
            </w:tcBorders>
            <w:shd w:val="clear" w:color="auto" w:fill="D9D9D9" w:themeFill="background1" w:themeFillShade="D9"/>
            <w:noWrap/>
            <w:vAlign w:val="bottom"/>
            <w:hideMark/>
          </w:tcPr>
          <w:p w14:paraId="06FBF100"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 razdoblje otplate -120 mjeseci</w:t>
            </w:r>
          </w:p>
        </w:tc>
        <w:tc>
          <w:tcPr>
            <w:tcW w:w="1418" w:type="dxa"/>
            <w:tcBorders>
              <w:top w:val="nil"/>
              <w:left w:val="nil"/>
              <w:bottom w:val="nil"/>
              <w:right w:val="nil"/>
            </w:tcBorders>
            <w:shd w:val="clear" w:color="auto" w:fill="D9D9D9" w:themeFill="background1" w:themeFillShade="D9"/>
            <w:noWrap/>
            <w:vAlign w:val="bottom"/>
            <w:hideMark/>
          </w:tcPr>
          <w:p w14:paraId="0A595336" w14:textId="77777777" w:rsidR="007C5589" w:rsidRPr="009E4A49" w:rsidRDefault="007C5589" w:rsidP="001870D6">
            <w:pPr>
              <w:spacing w:after="0" w:line="240" w:lineRule="auto"/>
              <w:rPr>
                <w:rFonts w:ascii="Times New Roman" w:hAnsi="Times New Roman"/>
                <w:color w:val="000000"/>
                <w:sz w:val="16"/>
                <w:szCs w:val="16"/>
              </w:rPr>
            </w:pPr>
          </w:p>
        </w:tc>
        <w:tc>
          <w:tcPr>
            <w:tcW w:w="2773" w:type="dxa"/>
            <w:gridSpan w:val="2"/>
            <w:tcBorders>
              <w:top w:val="nil"/>
              <w:left w:val="nil"/>
              <w:bottom w:val="nil"/>
              <w:right w:val="nil"/>
            </w:tcBorders>
            <w:shd w:val="clear" w:color="auto" w:fill="D9D9D9" w:themeFill="background1" w:themeFillShade="D9"/>
            <w:noWrap/>
            <w:vAlign w:val="bottom"/>
            <w:hideMark/>
          </w:tcPr>
          <w:p w14:paraId="1FD9F9AA" w14:textId="77777777" w:rsidR="007C5589" w:rsidRPr="009E4A49" w:rsidRDefault="007C5589" w:rsidP="001870D6">
            <w:pPr>
              <w:spacing w:after="0" w:line="240" w:lineRule="auto"/>
              <w:rPr>
                <w:rFonts w:ascii="Times New Roman" w:hAnsi="Times New Roman"/>
                <w:color w:val="000000"/>
                <w:sz w:val="16"/>
                <w:szCs w:val="16"/>
              </w:rPr>
            </w:pPr>
          </w:p>
        </w:tc>
        <w:tc>
          <w:tcPr>
            <w:tcW w:w="912" w:type="dxa"/>
            <w:tcBorders>
              <w:top w:val="nil"/>
              <w:left w:val="nil"/>
              <w:bottom w:val="nil"/>
              <w:right w:val="nil"/>
            </w:tcBorders>
            <w:shd w:val="clear" w:color="auto" w:fill="D9D9D9" w:themeFill="background1" w:themeFillShade="D9"/>
            <w:noWrap/>
            <w:vAlign w:val="bottom"/>
            <w:hideMark/>
          </w:tcPr>
          <w:p w14:paraId="084BA755" w14:textId="77777777" w:rsidR="007C5589" w:rsidRPr="009E4A49" w:rsidRDefault="007C5589" w:rsidP="001870D6">
            <w:pPr>
              <w:spacing w:after="0" w:line="240" w:lineRule="auto"/>
              <w:jc w:val="right"/>
              <w:rPr>
                <w:rFonts w:ascii="Times New Roman" w:hAnsi="Times New Roman"/>
                <w:color w:val="000000"/>
                <w:sz w:val="16"/>
                <w:szCs w:val="16"/>
              </w:rPr>
            </w:pPr>
          </w:p>
        </w:tc>
        <w:tc>
          <w:tcPr>
            <w:tcW w:w="236" w:type="dxa"/>
            <w:tcBorders>
              <w:top w:val="nil"/>
              <w:left w:val="nil"/>
              <w:bottom w:val="nil"/>
              <w:right w:val="nil"/>
            </w:tcBorders>
            <w:shd w:val="clear" w:color="auto" w:fill="D9D9D9" w:themeFill="background1" w:themeFillShade="D9"/>
            <w:noWrap/>
            <w:vAlign w:val="bottom"/>
            <w:hideMark/>
          </w:tcPr>
          <w:p w14:paraId="595F20AC" w14:textId="77777777" w:rsidR="007C5589" w:rsidRPr="009E4A49" w:rsidRDefault="007C5589" w:rsidP="001870D6">
            <w:pPr>
              <w:spacing w:after="0" w:line="240" w:lineRule="auto"/>
              <w:rPr>
                <w:rFonts w:ascii="Times New Roman" w:hAnsi="Times New Roman"/>
                <w:color w:val="000000"/>
                <w:sz w:val="16"/>
                <w:szCs w:val="16"/>
              </w:rPr>
            </w:pPr>
          </w:p>
        </w:tc>
      </w:tr>
      <w:tr w:rsidR="007C5589" w:rsidRPr="009E4A49" w14:paraId="1D53C69E" w14:textId="77777777" w:rsidTr="009267B2">
        <w:trPr>
          <w:trHeight w:val="300"/>
        </w:trPr>
        <w:tc>
          <w:tcPr>
            <w:tcW w:w="4678" w:type="dxa"/>
            <w:gridSpan w:val="4"/>
            <w:tcBorders>
              <w:top w:val="nil"/>
              <w:left w:val="nil"/>
              <w:bottom w:val="nil"/>
              <w:right w:val="nil"/>
            </w:tcBorders>
            <w:shd w:val="clear" w:color="auto" w:fill="D9D9D9" w:themeFill="background1" w:themeFillShade="D9"/>
            <w:noWrap/>
            <w:vAlign w:val="bottom"/>
            <w:hideMark/>
          </w:tcPr>
          <w:p w14:paraId="7E1F948F"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 ukupno za otplatu - 3.500.000,00 kn</w:t>
            </w:r>
          </w:p>
        </w:tc>
        <w:tc>
          <w:tcPr>
            <w:tcW w:w="1418" w:type="dxa"/>
            <w:tcBorders>
              <w:top w:val="nil"/>
              <w:left w:val="nil"/>
              <w:bottom w:val="nil"/>
              <w:right w:val="nil"/>
            </w:tcBorders>
            <w:shd w:val="clear" w:color="auto" w:fill="D9D9D9" w:themeFill="background1" w:themeFillShade="D9"/>
            <w:noWrap/>
            <w:vAlign w:val="bottom"/>
            <w:hideMark/>
          </w:tcPr>
          <w:p w14:paraId="1C931AC7" w14:textId="77777777" w:rsidR="007C5589" w:rsidRPr="009E4A49" w:rsidRDefault="007C5589" w:rsidP="001870D6">
            <w:pPr>
              <w:spacing w:after="0" w:line="240" w:lineRule="auto"/>
              <w:rPr>
                <w:rFonts w:ascii="Times New Roman" w:hAnsi="Times New Roman"/>
                <w:color w:val="000000"/>
                <w:sz w:val="16"/>
                <w:szCs w:val="16"/>
              </w:rPr>
            </w:pPr>
          </w:p>
        </w:tc>
        <w:tc>
          <w:tcPr>
            <w:tcW w:w="2773" w:type="dxa"/>
            <w:gridSpan w:val="2"/>
            <w:tcBorders>
              <w:top w:val="nil"/>
              <w:left w:val="nil"/>
              <w:bottom w:val="nil"/>
              <w:right w:val="nil"/>
            </w:tcBorders>
            <w:shd w:val="clear" w:color="auto" w:fill="D9D9D9" w:themeFill="background1" w:themeFillShade="D9"/>
            <w:noWrap/>
            <w:vAlign w:val="bottom"/>
            <w:hideMark/>
          </w:tcPr>
          <w:p w14:paraId="5276FC43" w14:textId="77777777" w:rsidR="007C5589" w:rsidRPr="009E4A49" w:rsidRDefault="007C5589" w:rsidP="001870D6">
            <w:pPr>
              <w:spacing w:after="0" w:line="240" w:lineRule="auto"/>
              <w:rPr>
                <w:rFonts w:ascii="Times New Roman" w:hAnsi="Times New Roman"/>
                <w:color w:val="000000"/>
                <w:sz w:val="16"/>
                <w:szCs w:val="16"/>
              </w:rPr>
            </w:pPr>
          </w:p>
        </w:tc>
        <w:tc>
          <w:tcPr>
            <w:tcW w:w="912" w:type="dxa"/>
            <w:tcBorders>
              <w:top w:val="nil"/>
              <w:left w:val="nil"/>
              <w:bottom w:val="nil"/>
              <w:right w:val="nil"/>
            </w:tcBorders>
            <w:shd w:val="clear" w:color="auto" w:fill="D9D9D9" w:themeFill="background1" w:themeFillShade="D9"/>
            <w:noWrap/>
            <w:vAlign w:val="bottom"/>
            <w:hideMark/>
          </w:tcPr>
          <w:p w14:paraId="39B88A7B" w14:textId="77777777" w:rsidR="007C5589" w:rsidRPr="009E4A49" w:rsidRDefault="007C5589" w:rsidP="001870D6">
            <w:pPr>
              <w:spacing w:after="0" w:line="240" w:lineRule="auto"/>
              <w:jc w:val="right"/>
              <w:rPr>
                <w:rFonts w:ascii="Times New Roman" w:hAnsi="Times New Roman"/>
                <w:color w:val="000000"/>
                <w:sz w:val="16"/>
                <w:szCs w:val="16"/>
              </w:rPr>
            </w:pPr>
          </w:p>
        </w:tc>
        <w:tc>
          <w:tcPr>
            <w:tcW w:w="236" w:type="dxa"/>
            <w:tcBorders>
              <w:top w:val="nil"/>
              <w:left w:val="nil"/>
              <w:bottom w:val="nil"/>
              <w:right w:val="nil"/>
            </w:tcBorders>
            <w:shd w:val="clear" w:color="auto" w:fill="D9D9D9" w:themeFill="background1" w:themeFillShade="D9"/>
            <w:noWrap/>
            <w:vAlign w:val="bottom"/>
            <w:hideMark/>
          </w:tcPr>
          <w:p w14:paraId="77A558FC" w14:textId="77777777" w:rsidR="007C5589" w:rsidRPr="009E4A49" w:rsidRDefault="007C5589" w:rsidP="001870D6">
            <w:pPr>
              <w:spacing w:after="0" w:line="240" w:lineRule="auto"/>
              <w:rPr>
                <w:rFonts w:ascii="Times New Roman" w:hAnsi="Times New Roman"/>
                <w:color w:val="000000"/>
                <w:sz w:val="16"/>
                <w:szCs w:val="16"/>
              </w:rPr>
            </w:pPr>
          </w:p>
        </w:tc>
      </w:tr>
      <w:tr w:rsidR="007C5589" w:rsidRPr="009E4A49" w14:paraId="41567E27" w14:textId="77777777" w:rsidTr="009267B2">
        <w:trPr>
          <w:trHeight w:val="300"/>
        </w:trPr>
        <w:tc>
          <w:tcPr>
            <w:tcW w:w="4678" w:type="dxa"/>
            <w:gridSpan w:val="4"/>
            <w:tcBorders>
              <w:top w:val="nil"/>
              <w:left w:val="nil"/>
              <w:bottom w:val="nil"/>
              <w:right w:val="nil"/>
            </w:tcBorders>
            <w:shd w:val="clear" w:color="auto" w:fill="D9D9D9" w:themeFill="background1" w:themeFillShade="D9"/>
            <w:noWrap/>
            <w:vAlign w:val="bottom"/>
            <w:hideMark/>
          </w:tcPr>
          <w:p w14:paraId="31F753AC"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 kamatna stopa - 3,35% fiksna</w:t>
            </w:r>
          </w:p>
        </w:tc>
        <w:tc>
          <w:tcPr>
            <w:tcW w:w="1418" w:type="dxa"/>
            <w:tcBorders>
              <w:top w:val="nil"/>
              <w:left w:val="nil"/>
              <w:bottom w:val="nil"/>
              <w:right w:val="nil"/>
            </w:tcBorders>
            <w:shd w:val="clear" w:color="auto" w:fill="D9D9D9" w:themeFill="background1" w:themeFillShade="D9"/>
            <w:noWrap/>
            <w:vAlign w:val="bottom"/>
            <w:hideMark/>
          </w:tcPr>
          <w:p w14:paraId="7851B0C4" w14:textId="77777777" w:rsidR="007C5589" w:rsidRPr="009E4A49" w:rsidRDefault="007C5589" w:rsidP="001870D6">
            <w:pPr>
              <w:spacing w:after="0" w:line="240" w:lineRule="auto"/>
              <w:rPr>
                <w:rFonts w:ascii="Times New Roman" w:hAnsi="Times New Roman"/>
                <w:color w:val="000000"/>
                <w:sz w:val="16"/>
                <w:szCs w:val="16"/>
              </w:rPr>
            </w:pPr>
          </w:p>
        </w:tc>
        <w:tc>
          <w:tcPr>
            <w:tcW w:w="2773" w:type="dxa"/>
            <w:gridSpan w:val="2"/>
            <w:tcBorders>
              <w:top w:val="nil"/>
              <w:left w:val="nil"/>
              <w:bottom w:val="nil"/>
              <w:right w:val="nil"/>
            </w:tcBorders>
            <w:shd w:val="clear" w:color="auto" w:fill="D9D9D9" w:themeFill="background1" w:themeFillShade="D9"/>
            <w:noWrap/>
            <w:vAlign w:val="bottom"/>
            <w:hideMark/>
          </w:tcPr>
          <w:p w14:paraId="70F753C0" w14:textId="77777777" w:rsidR="007C5589" w:rsidRPr="009E4A49" w:rsidRDefault="007C5589" w:rsidP="001870D6">
            <w:pPr>
              <w:spacing w:after="0" w:line="240" w:lineRule="auto"/>
              <w:rPr>
                <w:rFonts w:ascii="Times New Roman" w:hAnsi="Times New Roman"/>
                <w:color w:val="000000"/>
                <w:sz w:val="16"/>
                <w:szCs w:val="16"/>
              </w:rPr>
            </w:pPr>
          </w:p>
        </w:tc>
        <w:tc>
          <w:tcPr>
            <w:tcW w:w="912" w:type="dxa"/>
            <w:tcBorders>
              <w:top w:val="nil"/>
              <w:left w:val="nil"/>
              <w:bottom w:val="nil"/>
              <w:right w:val="nil"/>
            </w:tcBorders>
            <w:shd w:val="clear" w:color="auto" w:fill="D9D9D9" w:themeFill="background1" w:themeFillShade="D9"/>
            <w:noWrap/>
            <w:vAlign w:val="bottom"/>
            <w:hideMark/>
          </w:tcPr>
          <w:p w14:paraId="5B54D307" w14:textId="77777777" w:rsidR="007C5589" w:rsidRPr="009E4A49" w:rsidRDefault="007C5589" w:rsidP="001870D6">
            <w:pPr>
              <w:spacing w:after="0" w:line="240" w:lineRule="auto"/>
              <w:jc w:val="right"/>
              <w:rPr>
                <w:rFonts w:ascii="Times New Roman" w:hAnsi="Times New Roman"/>
                <w:color w:val="000000"/>
                <w:sz w:val="16"/>
                <w:szCs w:val="16"/>
              </w:rPr>
            </w:pPr>
          </w:p>
        </w:tc>
        <w:tc>
          <w:tcPr>
            <w:tcW w:w="236" w:type="dxa"/>
            <w:tcBorders>
              <w:top w:val="nil"/>
              <w:left w:val="nil"/>
              <w:bottom w:val="nil"/>
              <w:right w:val="nil"/>
            </w:tcBorders>
            <w:shd w:val="clear" w:color="auto" w:fill="D9D9D9" w:themeFill="background1" w:themeFillShade="D9"/>
            <w:noWrap/>
            <w:vAlign w:val="bottom"/>
            <w:hideMark/>
          </w:tcPr>
          <w:p w14:paraId="60308B22" w14:textId="77777777" w:rsidR="007C5589" w:rsidRPr="009E4A49" w:rsidRDefault="007C5589" w:rsidP="001870D6">
            <w:pPr>
              <w:spacing w:after="0" w:line="240" w:lineRule="auto"/>
              <w:rPr>
                <w:rFonts w:ascii="Times New Roman" w:hAnsi="Times New Roman"/>
                <w:color w:val="000000"/>
                <w:sz w:val="16"/>
                <w:szCs w:val="16"/>
              </w:rPr>
            </w:pPr>
          </w:p>
        </w:tc>
      </w:tr>
      <w:tr w:rsidR="007C5589" w:rsidRPr="009E4A49" w14:paraId="34B99744" w14:textId="77777777" w:rsidTr="009267B2">
        <w:trPr>
          <w:gridAfter w:val="1"/>
          <w:wAfter w:w="236" w:type="dxa"/>
          <w:trHeight w:val="300"/>
        </w:trPr>
        <w:tc>
          <w:tcPr>
            <w:tcW w:w="1134" w:type="dxa"/>
            <w:tcBorders>
              <w:top w:val="nil"/>
              <w:left w:val="nil"/>
              <w:bottom w:val="nil"/>
              <w:right w:val="nil"/>
            </w:tcBorders>
            <w:noWrap/>
            <w:vAlign w:val="bottom"/>
            <w:hideMark/>
          </w:tcPr>
          <w:p w14:paraId="2E32801A" w14:textId="77777777" w:rsidR="007C5589" w:rsidRPr="009E4A49" w:rsidRDefault="007C5589" w:rsidP="001870D6">
            <w:pPr>
              <w:spacing w:after="0" w:line="240" w:lineRule="auto"/>
              <w:rPr>
                <w:rFonts w:ascii="Times New Roman" w:hAnsi="Times New Roman"/>
                <w:color w:val="000000"/>
                <w:sz w:val="16"/>
                <w:szCs w:val="16"/>
              </w:rPr>
            </w:pPr>
          </w:p>
        </w:tc>
        <w:tc>
          <w:tcPr>
            <w:tcW w:w="1276" w:type="dxa"/>
            <w:tcBorders>
              <w:top w:val="nil"/>
              <w:left w:val="nil"/>
              <w:bottom w:val="nil"/>
              <w:right w:val="nil"/>
            </w:tcBorders>
            <w:noWrap/>
            <w:vAlign w:val="bottom"/>
            <w:hideMark/>
          </w:tcPr>
          <w:p w14:paraId="6269286E" w14:textId="77777777" w:rsidR="007C5589" w:rsidRPr="009E4A49" w:rsidRDefault="007C5589" w:rsidP="001870D6">
            <w:pPr>
              <w:spacing w:after="0" w:line="240" w:lineRule="auto"/>
              <w:rPr>
                <w:rFonts w:ascii="Times New Roman" w:hAnsi="Times New Roman"/>
                <w:color w:val="000000"/>
                <w:sz w:val="16"/>
                <w:szCs w:val="16"/>
              </w:rPr>
            </w:pPr>
          </w:p>
        </w:tc>
        <w:tc>
          <w:tcPr>
            <w:tcW w:w="1217" w:type="dxa"/>
            <w:tcBorders>
              <w:top w:val="nil"/>
              <w:left w:val="nil"/>
              <w:bottom w:val="nil"/>
              <w:right w:val="nil"/>
            </w:tcBorders>
            <w:noWrap/>
            <w:vAlign w:val="bottom"/>
            <w:hideMark/>
          </w:tcPr>
          <w:p w14:paraId="7740ECA2" w14:textId="77777777" w:rsidR="007C5589" w:rsidRPr="009E4A49" w:rsidRDefault="007C5589" w:rsidP="001870D6">
            <w:pPr>
              <w:spacing w:after="0" w:line="240" w:lineRule="auto"/>
              <w:rPr>
                <w:rFonts w:ascii="Times New Roman" w:hAnsi="Times New Roman"/>
                <w:color w:val="000000"/>
                <w:sz w:val="16"/>
                <w:szCs w:val="16"/>
              </w:rPr>
            </w:pPr>
          </w:p>
        </w:tc>
        <w:tc>
          <w:tcPr>
            <w:tcW w:w="1051" w:type="dxa"/>
            <w:tcBorders>
              <w:top w:val="nil"/>
              <w:left w:val="nil"/>
              <w:bottom w:val="nil"/>
              <w:right w:val="nil"/>
            </w:tcBorders>
            <w:noWrap/>
            <w:vAlign w:val="bottom"/>
            <w:hideMark/>
          </w:tcPr>
          <w:p w14:paraId="10C2F98B" w14:textId="77777777" w:rsidR="007C5589" w:rsidRPr="009E4A49" w:rsidRDefault="007C5589" w:rsidP="001870D6">
            <w:pPr>
              <w:spacing w:after="0" w:line="240" w:lineRule="auto"/>
              <w:rPr>
                <w:rFonts w:ascii="Times New Roman" w:hAnsi="Times New Roman"/>
                <w:color w:val="000000"/>
                <w:sz w:val="16"/>
                <w:szCs w:val="16"/>
              </w:rPr>
            </w:pPr>
          </w:p>
        </w:tc>
        <w:tc>
          <w:tcPr>
            <w:tcW w:w="1418" w:type="dxa"/>
            <w:tcBorders>
              <w:top w:val="nil"/>
              <w:left w:val="nil"/>
              <w:bottom w:val="nil"/>
              <w:right w:val="nil"/>
            </w:tcBorders>
            <w:noWrap/>
            <w:vAlign w:val="bottom"/>
            <w:hideMark/>
          </w:tcPr>
          <w:p w14:paraId="22EBF22F" w14:textId="77777777" w:rsidR="007C5589" w:rsidRPr="009E4A49" w:rsidRDefault="007C5589" w:rsidP="001870D6">
            <w:pPr>
              <w:spacing w:after="0" w:line="240" w:lineRule="auto"/>
              <w:rPr>
                <w:rFonts w:ascii="Times New Roman" w:hAnsi="Times New Roman"/>
                <w:color w:val="000000"/>
                <w:sz w:val="16"/>
                <w:szCs w:val="16"/>
              </w:rPr>
            </w:pPr>
          </w:p>
        </w:tc>
        <w:tc>
          <w:tcPr>
            <w:tcW w:w="1984" w:type="dxa"/>
            <w:tcBorders>
              <w:top w:val="nil"/>
              <w:left w:val="nil"/>
              <w:bottom w:val="nil"/>
              <w:right w:val="nil"/>
            </w:tcBorders>
            <w:noWrap/>
            <w:vAlign w:val="bottom"/>
            <w:hideMark/>
          </w:tcPr>
          <w:p w14:paraId="50B6C0C0" w14:textId="77777777" w:rsidR="007C5589" w:rsidRPr="009E4A49" w:rsidRDefault="007C5589" w:rsidP="001870D6">
            <w:pPr>
              <w:spacing w:after="0" w:line="240" w:lineRule="auto"/>
              <w:jc w:val="right"/>
              <w:rPr>
                <w:rFonts w:ascii="Times New Roman" w:hAnsi="Times New Roman"/>
                <w:color w:val="000000"/>
                <w:sz w:val="16"/>
                <w:szCs w:val="16"/>
              </w:rPr>
            </w:pPr>
          </w:p>
        </w:tc>
        <w:tc>
          <w:tcPr>
            <w:tcW w:w="1701" w:type="dxa"/>
            <w:gridSpan w:val="2"/>
            <w:tcBorders>
              <w:top w:val="nil"/>
              <w:left w:val="nil"/>
              <w:bottom w:val="nil"/>
              <w:right w:val="nil"/>
            </w:tcBorders>
            <w:noWrap/>
            <w:vAlign w:val="bottom"/>
            <w:hideMark/>
          </w:tcPr>
          <w:p w14:paraId="0E0D7120" w14:textId="77777777" w:rsidR="007C5589" w:rsidRPr="009E4A49" w:rsidRDefault="007C5589" w:rsidP="001870D6">
            <w:pPr>
              <w:spacing w:after="0" w:line="240" w:lineRule="auto"/>
              <w:rPr>
                <w:rFonts w:ascii="Times New Roman" w:hAnsi="Times New Roman"/>
                <w:color w:val="000000"/>
                <w:sz w:val="16"/>
                <w:szCs w:val="16"/>
              </w:rPr>
            </w:pPr>
          </w:p>
        </w:tc>
      </w:tr>
      <w:tr w:rsidR="007C5589" w:rsidRPr="009E4A49" w14:paraId="37FAB83A" w14:textId="77777777" w:rsidTr="009267B2">
        <w:trPr>
          <w:gridAfter w:val="1"/>
          <w:wAfter w:w="236" w:type="dxa"/>
          <w:trHeight w:val="78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EECDFD9"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DATUM DOSPIJEĆA</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hideMark/>
          </w:tcPr>
          <w:p w14:paraId="705460FE"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OTPLATNI OBROK</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hideMark/>
          </w:tcPr>
          <w:p w14:paraId="7019F651"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OTPLATNA KVOTA</w:t>
            </w:r>
          </w:p>
        </w:tc>
        <w:tc>
          <w:tcPr>
            <w:tcW w:w="1051" w:type="dxa"/>
            <w:tcBorders>
              <w:top w:val="single" w:sz="4" w:space="0" w:color="auto"/>
              <w:left w:val="nil"/>
              <w:bottom w:val="single" w:sz="4" w:space="0" w:color="auto"/>
              <w:right w:val="single" w:sz="4" w:space="0" w:color="auto"/>
            </w:tcBorders>
            <w:shd w:val="clear" w:color="auto" w:fill="FFFFFF" w:themeFill="background1"/>
            <w:vAlign w:val="bottom"/>
            <w:hideMark/>
          </w:tcPr>
          <w:p w14:paraId="2F0B7FFB"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UPLATA KAMATA</w:t>
            </w:r>
          </w:p>
        </w:tc>
        <w:tc>
          <w:tcPr>
            <w:tcW w:w="14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67399214"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STANJE KREDITA</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14:paraId="26A5F790"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DATUM PLAĆANJA KAMATE</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4817112D" w14:textId="77777777" w:rsidR="007C5589" w:rsidRPr="009E4A49" w:rsidRDefault="007C5589" w:rsidP="001870D6">
            <w:pPr>
              <w:spacing w:after="0" w:line="240" w:lineRule="auto"/>
              <w:jc w:val="center"/>
              <w:rPr>
                <w:rFonts w:ascii="Times New Roman" w:hAnsi="Times New Roman"/>
                <w:b/>
                <w:color w:val="000000"/>
                <w:sz w:val="16"/>
                <w:szCs w:val="16"/>
              </w:rPr>
            </w:pPr>
            <w:r w:rsidRPr="009E4A49">
              <w:rPr>
                <w:rFonts w:ascii="Times New Roman" w:hAnsi="Times New Roman"/>
                <w:b/>
                <w:color w:val="000000"/>
                <w:sz w:val="16"/>
                <w:szCs w:val="16"/>
              </w:rPr>
              <w:t>DATUM PLAĆANJA GLAVNICE</w:t>
            </w:r>
          </w:p>
        </w:tc>
      </w:tr>
      <w:tr w:rsidR="007C5589" w:rsidRPr="009E4A49" w14:paraId="092AD22F" w14:textId="77777777" w:rsidTr="009267B2">
        <w:trPr>
          <w:gridAfter w:val="1"/>
          <w:wAfter w:w="236" w:type="dxa"/>
          <w:trHeight w:val="870"/>
        </w:trPr>
        <w:tc>
          <w:tcPr>
            <w:tcW w:w="1134" w:type="dxa"/>
            <w:tcBorders>
              <w:top w:val="nil"/>
              <w:left w:val="single" w:sz="4" w:space="0" w:color="auto"/>
              <w:bottom w:val="single" w:sz="4" w:space="0" w:color="auto"/>
              <w:right w:val="single" w:sz="4" w:space="0" w:color="auto"/>
            </w:tcBorders>
            <w:noWrap/>
            <w:vAlign w:val="bottom"/>
            <w:hideMark/>
          </w:tcPr>
          <w:p w14:paraId="287A4A7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31.3.2015</w:t>
            </w:r>
          </w:p>
        </w:tc>
        <w:tc>
          <w:tcPr>
            <w:tcW w:w="1276" w:type="dxa"/>
            <w:tcBorders>
              <w:top w:val="nil"/>
              <w:left w:val="nil"/>
              <w:bottom w:val="single" w:sz="4" w:space="0" w:color="auto"/>
              <w:right w:val="single" w:sz="4" w:space="0" w:color="auto"/>
            </w:tcBorders>
            <w:noWrap/>
            <w:vAlign w:val="bottom"/>
            <w:hideMark/>
          </w:tcPr>
          <w:p w14:paraId="76884079"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217" w:type="dxa"/>
            <w:tcBorders>
              <w:top w:val="nil"/>
              <w:left w:val="nil"/>
              <w:bottom w:val="single" w:sz="4" w:space="0" w:color="auto"/>
              <w:right w:val="single" w:sz="4" w:space="0" w:color="auto"/>
            </w:tcBorders>
            <w:noWrap/>
            <w:vAlign w:val="bottom"/>
            <w:hideMark/>
          </w:tcPr>
          <w:p w14:paraId="641E6275"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051" w:type="dxa"/>
            <w:tcBorders>
              <w:top w:val="nil"/>
              <w:left w:val="nil"/>
              <w:bottom w:val="single" w:sz="4" w:space="0" w:color="auto"/>
              <w:right w:val="single" w:sz="4" w:space="0" w:color="auto"/>
            </w:tcBorders>
            <w:noWrap/>
            <w:vAlign w:val="bottom"/>
            <w:hideMark/>
          </w:tcPr>
          <w:p w14:paraId="7CB4101F" w14:textId="77777777" w:rsidR="007C5589" w:rsidRPr="009E4A49" w:rsidRDefault="007C5589" w:rsidP="001870D6">
            <w:pPr>
              <w:spacing w:after="0" w:line="240" w:lineRule="auto"/>
              <w:rPr>
                <w:rFonts w:ascii="Times New Roman" w:hAnsi="Times New Roman"/>
                <w:color w:val="000000"/>
                <w:sz w:val="16"/>
                <w:szCs w:val="16"/>
              </w:rPr>
            </w:pPr>
          </w:p>
        </w:tc>
        <w:tc>
          <w:tcPr>
            <w:tcW w:w="1418" w:type="dxa"/>
            <w:tcBorders>
              <w:top w:val="nil"/>
              <w:left w:val="nil"/>
              <w:bottom w:val="single" w:sz="4" w:space="0" w:color="auto"/>
              <w:right w:val="single" w:sz="4" w:space="0" w:color="auto"/>
            </w:tcBorders>
            <w:noWrap/>
            <w:vAlign w:val="bottom"/>
            <w:hideMark/>
          </w:tcPr>
          <w:p w14:paraId="22DB6B8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3.500.000,00</w:t>
            </w:r>
          </w:p>
        </w:tc>
        <w:tc>
          <w:tcPr>
            <w:tcW w:w="1984" w:type="dxa"/>
            <w:tcBorders>
              <w:top w:val="nil"/>
              <w:left w:val="nil"/>
              <w:bottom w:val="single" w:sz="4" w:space="0" w:color="auto"/>
              <w:right w:val="single" w:sz="4" w:space="0" w:color="auto"/>
            </w:tcBorders>
            <w:vAlign w:val="bottom"/>
            <w:hideMark/>
          </w:tcPr>
          <w:p w14:paraId="56B7D940"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20.04.2015 - 28.910,96, 27.01.2015 - 9.636,99,</w:t>
            </w:r>
          </w:p>
          <w:p w14:paraId="66165E9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12.01.2015 - 12.563,50</w:t>
            </w:r>
          </w:p>
        </w:tc>
        <w:tc>
          <w:tcPr>
            <w:tcW w:w="1701" w:type="dxa"/>
            <w:gridSpan w:val="2"/>
            <w:tcBorders>
              <w:top w:val="nil"/>
              <w:left w:val="nil"/>
              <w:bottom w:val="single" w:sz="4" w:space="0" w:color="auto"/>
              <w:right w:val="single" w:sz="4" w:space="0" w:color="auto"/>
            </w:tcBorders>
            <w:vAlign w:val="bottom"/>
            <w:hideMark/>
          </w:tcPr>
          <w:p w14:paraId="0337A7BE" w14:textId="77777777" w:rsidR="007C5589" w:rsidRPr="009E4A49" w:rsidRDefault="007C5589" w:rsidP="001870D6">
            <w:pPr>
              <w:spacing w:after="0" w:line="240" w:lineRule="auto"/>
              <w:rPr>
                <w:rFonts w:ascii="Times New Roman" w:hAnsi="Times New Roman"/>
                <w:color w:val="000000"/>
                <w:sz w:val="16"/>
                <w:szCs w:val="16"/>
              </w:rPr>
            </w:pPr>
          </w:p>
        </w:tc>
      </w:tr>
      <w:tr w:rsidR="007C5589" w:rsidRPr="009E4A49" w14:paraId="50E60E96"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ACE045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30.6.2015</w:t>
            </w:r>
          </w:p>
        </w:tc>
        <w:tc>
          <w:tcPr>
            <w:tcW w:w="1276" w:type="dxa"/>
            <w:tcBorders>
              <w:top w:val="nil"/>
              <w:left w:val="nil"/>
              <w:bottom w:val="single" w:sz="4" w:space="0" w:color="auto"/>
              <w:right w:val="single" w:sz="4" w:space="0" w:color="auto"/>
            </w:tcBorders>
            <w:noWrap/>
            <w:vAlign w:val="bottom"/>
            <w:hideMark/>
          </w:tcPr>
          <w:p w14:paraId="5C89F92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29.232,19</w:t>
            </w:r>
          </w:p>
        </w:tc>
        <w:tc>
          <w:tcPr>
            <w:tcW w:w="1217" w:type="dxa"/>
            <w:tcBorders>
              <w:top w:val="nil"/>
              <w:left w:val="nil"/>
              <w:bottom w:val="single" w:sz="4" w:space="0" w:color="auto"/>
              <w:right w:val="single" w:sz="4" w:space="0" w:color="auto"/>
            </w:tcBorders>
            <w:noWrap/>
            <w:vAlign w:val="bottom"/>
            <w:hideMark/>
          </w:tcPr>
          <w:p w14:paraId="34274EFD"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051" w:type="dxa"/>
            <w:tcBorders>
              <w:top w:val="nil"/>
              <w:left w:val="nil"/>
              <w:bottom w:val="single" w:sz="4" w:space="0" w:color="auto"/>
              <w:right w:val="single" w:sz="4" w:space="0" w:color="auto"/>
            </w:tcBorders>
            <w:noWrap/>
            <w:vAlign w:val="bottom"/>
            <w:hideMark/>
          </w:tcPr>
          <w:p w14:paraId="630E1E3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29.232,19</w:t>
            </w:r>
          </w:p>
        </w:tc>
        <w:tc>
          <w:tcPr>
            <w:tcW w:w="1418" w:type="dxa"/>
            <w:tcBorders>
              <w:top w:val="nil"/>
              <w:left w:val="nil"/>
              <w:bottom w:val="single" w:sz="4" w:space="0" w:color="auto"/>
              <w:right w:val="single" w:sz="4" w:space="0" w:color="auto"/>
            </w:tcBorders>
            <w:noWrap/>
            <w:vAlign w:val="bottom"/>
            <w:hideMark/>
          </w:tcPr>
          <w:p w14:paraId="2FAB24A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3.500.000,00</w:t>
            </w:r>
          </w:p>
        </w:tc>
        <w:tc>
          <w:tcPr>
            <w:tcW w:w="1984" w:type="dxa"/>
            <w:tcBorders>
              <w:top w:val="nil"/>
              <w:left w:val="nil"/>
              <w:bottom w:val="single" w:sz="4" w:space="0" w:color="auto"/>
              <w:right w:val="single" w:sz="4" w:space="0" w:color="auto"/>
            </w:tcBorders>
            <w:vAlign w:val="bottom"/>
            <w:hideMark/>
          </w:tcPr>
          <w:p w14:paraId="53AA5610"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17.7.2015</w:t>
            </w:r>
          </w:p>
        </w:tc>
        <w:tc>
          <w:tcPr>
            <w:tcW w:w="1701" w:type="dxa"/>
            <w:gridSpan w:val="2"/>
            <w:tcBorders>
              <w:top w:val="nil"/>
              <w:left w:val="nil"/>
              <w:bottom w:val="single" w:sz="4" w:space="0" w:color="auto"/>
              <w:right w:val="single" w:sz="4" w:space="0" w:color="auto"/>
            </w:tcBorders>
            <w:vAlign w:val="bottom"/>
            <w:hideMark/>
          </w:tcPr>
          <w:p w14:paraId="48B4888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r>
      <w:tr w:rsidR="007C5589" w:rsidRPr="009E4A49" w14:paraId="7AC98805"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24CA7A2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30.9.2015</w:t>
            </w:r>
          </w:p>
        </w:tc>
        <w:tc>
          <w:tcPr>
            <w:tcW w:w="1276" w:type="dxa"/>
            <w:tcBorders>
              <w:top w:val="nil"/>
              <w:left w:val="nil"/>
              <w:bottom w:val="single" w:sz="4" w:space="0" w:color="auto"/>
              <w:right w:val="single" w:sz="4" w:space="0" w:color="auto"/>
            </w:tcBorders>
            <w:noWrap/>
            <w:vAlign w:val="bottom"/>
            <w:hideMark/>
          </w:tcPr>
          <w:p w14:paraId="06BC954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29.553,42</w:t>
            </w:r>
          </w:p>
        </w:tc>
        <w:tc>
          <w:tcPr>
            <w:tcW w:w="1217" w:type="dxa"/>
            <w:tcBorders>
              <w:top w:val="nil"/>
              <w:left w:val="nil"/>
              <w:bottom w:val="single" w:sz="4" w:space="0" w:color="auto"/>
              <w:right w:val="single" w:sz="4" w:space="0" w:color="auto"/>
            </w:tcBorders>
            <w:noWrap/>
            <w:vAlign w:val="bottom"/>
            <w:hideMark/>
          </w:tcPr>
          <w:p w14:paraId="0BB7118C"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051" w:type="dxa"/>
            <w:tcBorders>
              <w:top w:val="nil"/>
              <w:left w:val="nil"/>
              <w:bottom w:val="single" w:sz="4" w:space="0" w:color="auto"/>
              <w:right w:val="single" w:sz="4" w:space="0" w:color="auto"/>
            </w:tcBorders>
            <w:noWrap/>
            <w:vAlign w:val="bottom"/>
            <w:hideMark/>
          </w:tcPr>
          <w:p w14:paraId="0928D20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29.553,42</w:t>
            </w:r>
          </w:p>
        </w:tc>
        <w:tc>
          <w:tcPr>
            <w:tcW w:w="1418" w:type="dxa"/>
            <w:tcBorders>
              <w:top w:val="nil"/>
              <w:left w:val="nil"/>
              <w:bottom w:val="single" w:sz="4" w:space="0" w:color="auto"/>
              <w:right w:val="single" w:sz="4" w:space="0" w:color="auto"/>
            </w:tcBorders>
            <w:noWrap/>
            <w:vAlign w:val="bottom"/>
            <w:hideMark/>
          </w:tcPr>
          <w:p w14:paraId="7E0ED3F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3.500.000,00</w:t>
            </w:r>
          </w:p>
        </w:tc>
        <w:tc>
          <w:tcPr>
            <w:tcW w:w="1984" w:type="dxa"/>
            <w:tcBorders>
              <w:top w:val="nil"/>
              <w:left w:val="nil"/>
              <w:bottom w:val="single" w:sz="4" w:space="0" w:color="auto"/>
              <w:right w:val="single" w:sz="4" w:space="0" w:color="auto"/>
            </w:tcBorders>
            <w:vAlign w:val="bottom"/>
            <w:hideMark/>
          </w:tcPr>
          <w:p w14:paraId="19E5F6F5"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22.10.2015</w:t>
            </w:r>
          </w:p>
        </w:tc>
        <w:tc>
          <w:tcPr>
            <w:tcW w:w="1701" w:type="dxa"/>
            <w:gridSpan w:val="2"/>
            <w:tcBorders>
              <w:top w:val="nil"/>
              <w:left w:val="nil"/>
              <w:bottom w:val="single" w:sz="4" w:space="0" w:color="auto"/>
              <w:right w:val="single" w:sz="4" w:space="0" w:color="auto"/>
            </w:tcBorders>
            <w:vAlign w:val="bottom"/>
            <w:hideMark/>
          </w:tcPr>
          <w:p w14:paraId="263FDB3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r>
      <w:tr w:rsidR="007C5589" w:rsidRPr="009E4A49" w14:paraId="168FAFE5"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20742D1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23.12.2015</w:t>
            </w:r>
          </w:p>
        </w:tc>
        <w:tc>
          <w:tcPr>
            <w:tcW w:w="1276" w:type="dxa"/>
            <w:tcBorders>
              <w:top w:val="nil"/>
              <w:left w:val="nil"/>
              <w:bottom w:val="single" w:sz="4" w:space="0" w:color="auto"/>
              <w:right w:val="single" w:sz="4" w:space="0" w:color="auto"/>
            </w:tcBorders>
            <w:noWrap/>
            <w:vAlign w:val="bottom"/>
            <w:hideMark/>
          </w:tcPr>
          <w:p w14:paraId="23F390C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1.946.010,83</w:t>
            </w:r>
          </w:p>
        </w:tc>
        <w:tc>
          <w:tcPr>
            <w:tcW w:w="1217" w:type="dxa"/>
            <w:tcBorders>
              <w:top w:val="nil"/>
              <w:left w:val="nil"/>
              <w:bottom w:val="single" w:sz="4" w:space="0" w:color="auto"/>
              <w:right w:val="single" w:sz="4" w:space="0" w:color="auto"/>
            </w:tcBorders>
            <w:noWrap/>
            <w:vAlign w:val="bottom"/>
            <w:hideMark/>
          </w:tcPr>
          <w:p w14:paraId="5205AA3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1.946.010,83</w:t>
            </w:r>
          </w:p>
        </w:tc>
        <w:tc>
          <w:tcPr>
            <w:tcW w:w="1051" w:type="dxa"/>
            <w:tcBorders>
              <w:top w:val="nil"/>
              <w:left w:val="nil"/>
              <w:bottom w:val="single" w:sz="4" w:space="0" w:color="auto"/>
              <w:right w:val="single" w:sz="4" w:space="0" w:color="auto"/>
            </w:tcBorders>
            <w:noWrap/>
            <w:vAlign w:val="bottom"/>
            <w:hideMark/>
          </w:tcPr>
          <w:p w14:paraId="3E60A361"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418" w:type="dxa"/>
            <w:tcBorders>
              <w:top w:val="nil"/>
              <w:left w:val="nil"/>
              <w:bottom w:val="single" w:sz="4" w:space="0" w:color="auto"/>
              <w:right w:val="single" w:sz="4" w:space="0" w:color="auto"/>
            </w:tcBorders>
            <w:noWrap/>
            <w:vAlign w:val="bottom"/>
            <w:hideMark/>
          </w:tcPr>
          <w:p w14:paraId="1C68831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1.553.989,17</w:t>
            </w:r>
          </w:p>
        </w:tc>
        <w:tc>
          <w:tcPr>
            <w:tcW w:w="1984" w:type="dxa"/>
            <w:tcBorders>
              <w:top w:val="nil"/>
              <w:left w:val="nil"/>
              <w:bottom w:val="single" w:sz="4" w:space="0" w:color="auto"/>
              <w:right w:val="single" w:sz="4" w:space="0" w:color="auto"/>
            </w:tcBorders>
            <w:vAlign w:val="bottom"/>
            <w:hideMark/>
          </w:tcPr>
          <w:p w14:paraId="70794AA3"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701" w:type="dxa"/>
            <w:gridSpan w:val="2"/>
            <w:tcBorders>
              <w:top w:val="nil"/>
              <w:left w:val="nil"/>
              <w:bottom w:val="single" w:sz="4" w:space="0" w:color="auto"/>
              <w:right w:val="single" w:sz="4" w:space="0" w:color="auto"/>
            </w:tcBorders>
            <w:vAlign w:val="bottom"/>
            <w:hideMark/>
          </w:tcPr>
          <w:p w14:paraId="78314E2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22.12.2015</w:t>
            </w:r>
          </w:p>
        </w:tc>
      </w:tr>
      <w:tr w:rsidR="007C5589" w:rsidRPr="009E4A49" w14:paraId="0C69481A"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215B9E9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31.12.2015</w:t>
            </w:r>
          </w:p>
        </w:tc>
        <w:tc>
          <w:tcPr>
            <w:tcW w:w="1276" w:type="dxa"/>
            <w:tcBorders>
              <w:top w:val="nil"/>
              <w:left w:val="nil"/>
              <w:bottom w:val="single" w:sz="4" w:space="0" w:color="auto"/>
              <w:right w:val="single" w:sz="4" w:space="0" w:color="auto"/>
            </w:tcBorders>
            <w:noWrap/>
            <w:vAlign w:val="bottom"/>
            <w:hideMark/>
          </w:tcPr>
          <w:p w14:paraId="52DEC0E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27.945,97</w:t>
            </w:r>
          </w:p>
        </w:tc>
        <w:tc>
          <w:tcPr>
            <w:tcW w:w="1217" w:type="dxa"/>
            <w:tcBorders>
              <w:top w:val="nil"/>
              <w:left w:val="nil"/>
              <w:bottom w:val="single" w:sz="4" w:space="0" w:color="auto"/>
              <w:right w:val="single" w:sz="4" w:space="0" w:color="auto"/>
            </w:tcBorders>
            <w:noWrap/>
            <w:vAlign w:val="bottom"/>
            <w:hideMark/>
          </w:tcPr>
          <w:p w14:paraId="469AEF1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051" w:type="dxa"/>
            <w:tcBorders>
              <w:top w:val="nil"/>
              <w:left w:val="nil"/>
              <w:bottom w:val="single" w:sz="4" w:space="0" w:color="auto"/>
              <w:right w:val="single" w:sz="4" w:space="0" w:color="auto"/>
            </w:tcBorders>
            <w:noWrap/>
            <w:vAlign w:val="bottom"/>
            <w:hideMark/>
          </w:tcPr>
          <w:p w14:paraId="40D29C9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27.945,97</w:t>
            </w:r>
          </w:p>
        </w:tc>
        <w:tc>
          <w:tcPr>
            <w:tcW w:w="1418" w:type="dxa"/>
            <w:tcBorders>
              <w:top w:val="nil"/>
              <w:left w:val="nil"/>
              <w:bottom w:val="single" w:sz="4" w:space="0" w:color="auto"/>
              <w:right w:val="single" w:sz="4" w:space="0" w:color="auto"/>
            </w:tcBorders>
            <w:noWrap/>
            <w:vAlign w:val="bottom"/>
            <w:hideMark/>
          </w:tcPr>
          <w:p w14:paraId="6ACE544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1.553.989,17</w:t>
            </w:r>
          </w:p>
        </w:tc>
        <w:tc>
          <w:tcPr>
            <w:tcW w:w="1984" w:type="dxa"/>
            <w:tcBorders>
              <w:top w:val="nil"/>
              <w:left w:val="nil"/>
              <w:bottom w:val="single" w:sz="4" w:space="0" w:color="auto"/>
              <w:right w:val="single" w:sz="4" w:space="0" w:color="auto"/>
            </w:tcBorders>
            <w:vAlign w:val="bottom"/>
            <w:hideMark/>
          </w:tcPr>
          <w:p w14:paraId="0882FDB6"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25.1.2016</w:t>
            </w:r>
          </w:p>
        </w:tc>
        <w:tc>
          <w:tcPr>
            <w:tcW w:w="1701" w:type="dxa"/>
            <w:gridSpan w:val="2"/>
            <w:tcBorders>
              <w:top w:val="nil"/>
              <w:left w:val="nil"/>
              <w:bottom w:val="single" w:sz="4" w:space="0" w:color="auto"/>
              <w:right w:val="single" w:sz="4" w:space="0" w:color="auto"/>
            </w:tcBorders>
            <w:vAlign w:val="bottom"/>
            <w:hideMark/>
          </w:tcPr>
          <w:p w14:paraId="244BD64F"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r>
      <w:tr w:rsidR="007C5589" w:rsidRPr="009E4A49" w14:paraId="71B5A4D1"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3DFFD82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31.3.2016</w:t>
            </w:r>
          </w:p>
        </w:tc>
        <w:tc>
          <w:tcPr>
            <w:tcW w:w="1276" w:type="dxa"/>
            <w:tcBorders>
              <w:top w:val="nil"/>
              <w:left w:val="nil"/>
              <w:bottom w:val="single" w:sz="4" w:space="0" w:color="auto"/>
              <w:right w:val="single" w:sz="4" w:space="0" w:color="auto"/>
            </w:tcBorders>
            <w:noWrap/>
            <w:vAlign w:val="bottom"/>
            <w:hideMark/>
          </w:tcPr>
          <w:p w14:paraId="1B14075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12.943,93</w:t>
            </w:r>
          </w:p>
        </w:tc>
        <w:tc>
          <w:tcPr>
            <w:tcW w:w="1217" w:type="dxa"/>
            <w:tcBorders>
              <w:top w:val="nil"/>
              <w:left w:val="nil"/>
              <w:bottom w:val="single" w:sz="4" w:space="0" w:color="auto"/>
              <w:right w:val="single" w:sz="4" w:space="0" w:color="auto"/>
            </w:tcBorders>
            <w:noWrap/>
            <w:vAlign w:val="bottom"/>
            <w:hideMark/>
          </w:tcPr>
          <w:p w14:paraId="6A697C46"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c>
          <w:tcPr>
            <w:tcW w:w="1051" w:type="dxa"/>
            <w:tcBorders>
              <w:top w:val="nil"/>
              <w:left w:val="nil"/>
              <w:bottom w:val="single" w:sz="4" w:space="0" w:color="auto"/>
              <w:right w:val="single" w:sz="4" w:space="0" w:color="auto"/>
            </w:tcBorders>
            <w:noWrap/>
            <w:vAlign w:val="bottom"/>
            <w:hideMark/>
          </w:tcPr>
          <w:p w14:paraId="6BD17F1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12.943,93</w:t>
            </w:r>
          </w:p>
        </w:tc>
        <w:tc>
          <w:tcPr>
            <w:tcW w:w="1418" w:type="dxa"/>
            <w:tcBorders>
              <w:top w:val="nil"/>
              <w:left w:val="nil"/>
              <w:bottom w:val="single" w:sz="4" w:space="0" w:color="auto"/>
              <w:right w:val="single" w:sz="4" w:space="0" w:color="auto"/>
            </w:tcBorders>
            <w:noWrap/>
            <w:vAlign w:val="bottom"/>
            <w:hideMark/>
          </w:tcPr>
          <w:p w14:paraId="5F048FC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1.553.989,17</w:t>
            </w:r>
          </w:p>
        </w:tc>
        <w:tc>
          <w:tcPr>
            <w:tcW w:w="1984" w:type="dxa"/>
            <w:tcBorders>
              <w:top w:val="nil"/>
              <w:left w:val="nil"/>
              <w:bottom w:val="single" w:sz="4" w:space="0" w:color="auto"/>
              <w:right w:val="single" w:sz="4" w:space="0" w:color="auto"/>
            </w:tcBorders>
            <w:vAlign w:val="bottom"/>
            <w:hideMark/>
          </w:tcPr>
          <w:p w14:paraId="4D0BE48F"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6.4.2016</w:t>
            </w:r>
          </w:p>
        </w:tc>
        <w:tc>
          <w:tcPr>
            <w:tcW w:w="1701" w:type="dxa"/>
            <w:gridSpan w:val="2"/>
            <w:tcBorders>
              <w:top w:val="nil"/>
              <w:left w:val="nil"/>
              <w:bottom w:val="single" w:sz="4" w:space="0" w:color="auto"/>
              <w:right w:val="single" w:sz="4" w:space="0" w:color="auto"/>
            </w:tcBorders>
            <w:vAlign w:val="bottom"/>
            <w:hideMark/>
          </w:tcPr>
          <w:p w14:paraId="5C4C2F0B"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w:t>
            </w:r>
          </w:p>
        </w:tc>
      </w:tr>
      <w:tr w:rsidR="007C5589" w:rsidRPr="009E4A49" w14:paraId="4CD7231D" w14:textId="77777777" w:rsidTr="009267B2">
        <w:trPr>
          <w:gridAfter w:val="1"/>
          <w:wAfter w:w="236" w:type="dxa"/>
          <w:trHeight w:val="600"/>
        </w:trPr>
        <w:tc>
          <w:tcPr>
            <w:tcW w:w="1134" w:type="dxa"/>
            <w:tcBorders>
              <w:top w:val="nil"/>
              <w:left w:val="single" w:sz="4" w:space="0" w:color="auto"/>
              <w:bottom w:val="single" w:sz="4" w:space="0" w:color="auto"/>
              <w:right w:val="single" w:sz="4" w:space="0" w:color="auto"/>
            </w:tcBorders>
            <w:noWrap/>
            <w:vAlign w:val="bottom"/>
            <w:hideMark/>
          </w:tcPr>
          <w:p w14:paraId="6080CE6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30.6.2016</w:t>
            </w:r>
          </w:p>
        </w:tc>
        <w:tc>
          <w:tcPr>
            <w:tcW w:w="1276" w:type="dxa"/>
            <w:tcBorders>
              <w:top w:val="nil"/>
              <w:left w:val="nil"/>
              <w:bottom w:val="single" w:sz="4" w:space="0" w:color="auto"/>
              <w:right w:val="single" w:sz="4" w:space="0" w:color="auto"/>
            </w:tcBorders>
            <w:noWrap/>
            <w:vAlign w:val="bottom"/>
            <w:hideMark/>
          </w:tcPr>
          <w:p w14:paraId="487A1AC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56.109,91</w:t>
            </w:r>
          </w:p>
        </w:tc>
        <w:tc>
          <w:tcPr>
            <w:tcW w:w="1217" w:type="dxa"/>
            <w:tcBorders>
              <w:top w:val="nil"/>
              <w:left w:val="nil"/>
              <w:bottom w:val="single" w:sz="4" w:space="0" w:color="auto"/>
              <w:right w:val="single" w:sz="4" w:space="0" w:color="auto"/>
            </w:tcBorders>
            <w:noWrap/>
            <w:vAlign w:val="bottom"/>
            <w:hideMark/>
          </w:tcPr>
          <w:p w14:paraId="0F633A3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6CBC05B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12.943,54</w:t>
            </w:r>
          </w:p>
        </w:tc>
        <w:tc>
          <w:tcPr>
            <w:tcW w:w="1418" w:type="dxa"/>
            <w:tcBorders>
              <w:top w:val="nil"/>
              <w:left w:val="nil"/>
              <w:bottom w:val="single" w:sz="4" w:space="0" w:color="auto"/>
              <w:right w:val="single" w:sz="4" w:space="0" w:color="auto"/>
            </w:tcBorders>
            <w:noWrap/>
            <w:vAlign w:val="bottom"/>
            <w:hideMark/>
          </w:tcPr>
          <w:p w14:paraId="0435671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1.510.822,80</w:t>
            </w:r>
          </w:p>
        </w:tc>
        <w:tc>
          <w:tcPr>
            <w:tcW w:w="1984" w:type="dxa"/>
            <w:tcBorders>
              <w:top w:val="nil"/>
              <w:left w:val="nil"/>
              <w:bottom w:val="single" w:sz="4" w:space="0" w:color="auto"/>
              <w:right w:val="single" w:sz="4" w:space="0" w:color="auto"/>
            </w:tcBorders>
            <w:vAlign w:val="bottom"/>
            <w:hideMark/>
          </w:tcPr>
          <w:p w14:paraId="0FC012F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6.10.2016 - 12.656,68 </w:t>
            </w:r>
          </w:p>
          <w:p w14:paraId="56A3E651"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09.01.2017 - 286,86</w:t>
            </w:r>
          </w:p>
        </w:tc>
        <w:tc>
          <w:tcPr>
            <w:tcW w:w="1701" w:type="dxa"/>
            <w:gridSpan w:val="2"/>
            <w:tcBorders>
              <w:top w:val="nil"/>
              <w:left w:val="nil"/>
              <w:bottom w:val="single" w:sz="4" w:space="0" w:color="auto"/>
              <w:right w:val="single" w:sz="4" w:space="0" w:color="auto"/>
            </w:tcBorders>
            <w:vAlign w:val="bottom"/>
            <w:hideMark/>
          </w:tcPr>
          <w:p w14:paraId="68C79CCC"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27.5.2016</w:t>
            </w:r>
          </w:p>
        </w:tc>
      </w:tr>
      <w:tr w:rsidR="007C5589" w:rsidRPr="009E4A49" w14:paraId="111EE68A" w14:textId="77777777" w:rsidTr="009267B2">
        <w:trPr>
          <w:gridAfter w:val="1"/>
          <w:wAfter w:w="236" w:type="dxa"/>
          <w:trHeight w:val="540"/>
        </w:trPr>
        <w:tc>
          <w:tcPr>
            <w:tcW w:w="1134" w:type="dxa"/>
            <w:tcBorders>
              <w:top w:val="nil"/>
              <w:left w:val="single" w:sz="4" w:space="0" w:color="auto"/>
              <w:bottom w:val="single" w:sz="4" w:space="0" w:color="auto"/>
              <w:right w:val="single" w:sz="4" w:space="0" w:color="auto"/>
            </w:tcBorders>
            <w:noWrap/>
            <w:vAlign w:val="bottom"/>
            <w:hideMark/>
          </w:tcPr>
          <w:p w14:paraId="746AE3AD"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30.9.2016</w:t>
            </w:r>
          </w:p>
        </w:tc>
        <w:tc>
          <w:tcPr>
            <w:tcW w:w="1276" w:type="dxa"/>
            <w:tcBorders>
              <w:top w:val="nil"/>
              <w:left w:val="nil"/>
              <w:bottom w:val="single" w:sz="4" w:space="0" w:color="auto"/>
              <w:right w:val="single" w:sz="4" w:space="0" w:color="auto"/>
            </w:tcBorders>
            <w:noWrap/>
            <w:vAlign w:val="bottom"/>
            <w:hideMark/>
          </w:tcPr>
          <w:p w14:paraId="43AD636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55.888,65</w:t>
            </w:r>
          </w:p>
        </w:tc>
        <w:tc>
          <w:tcPr>
            <w:tcW w:w="1217" w:type="dxa"/>
            <w:tcBorders>
              <w:top w:val="nil"/>
              <w:left w:val="nil"/>
              <w:bottom w:val="single" w:sz="4" w:space="0" w:color="auto"/>
              <w:right w:val="single" w:sz="4" w:space="0" w:color="auto"/>
            </w:tcBorders>
            <w:noWrap/>
            <w:vAlign w:val="bottom"/>
            <w:hideMark/>
          </w:tcPr>
          <w:p w14:paraId="6DCA39B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214BAC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12.722,28</w:t>
            </w:r>
          </w:p>
        </w:tc>
        <w:tc>
          <w:tcPr>
            <w:tcW w:w="1418" w:type="dxa"/>
            <w:tcBorders>
              <w:top w:val="nil"/>
              <w:left w:val="nil"/>
              <w:bottom w:val="single" w:sz="4" w:space="0" w:color="auto"/>
              <w:right w:val="single" w:sz="4" w:space="0" w:color="auto"/>
            </w:tcBorders>
            <w:noWrap/>
            <w:vAlign w:val="bottom"/>
            <w:hideMark/>
          </w:tcPr>
          <w:p w14:paraId="704F59F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1.467.656,43</w:t>
            </w:r>
          </w:p>
        </w:tc>
        <w:tc>
          <w:tcPr>
            <w:tcW w:w="1984" w:type="dxa"/>
            <w:tcBorders>
              <w:top w:val="nil"/>
              <w:left w:val="nil"/>
              <w:bottom w:val="single" w:sz="4" w:space="0" w:color="auto"/>
              <w:right w:val="single" w:sz="4" w:space="0" w:color="auto"/>
            </w:tcBorders>
            <w:vAlign w:val="bottom"/>
            <w:hideMark/>
          </w:tcPr>
          <w:p w14:paraId="2F3B062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09.01.2017 - 11.996,86 </w:t>
            </w:r>
          </w:p>
          <w:p w14:paraId="0667607C"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22.02.2017 - 725,42</w:t>
            </w:r>
          </w:p>
        </w:tc>
        <w:tc>
          <w:tcPr>
            <w:tcW w:w="1701" w:type="dxa"/>
            <w:gridSpan w:val="2"/>
            <w:tcBorders>
              <w:top w:val="nil"/>
              <w:left w:val="nil"/>
              <w:bottom w:val="single" w:sz="4" w:space="0" w:color="auto"/>
              <w:right w:val="single" w:sz="4" w:space="0" w:color="auto"/>
            </w:tcBorders>
            <w:vAlign w:val="bottom"/>
            <w:hideMark/>
          </w:tcPr>
          <w:p w14:paraId="46ED1A83"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14.09.2016 - 42.991,75 12.12.2016 - 174,62</w:t>
            </w:r>
          </w:p>
        </w:tc>
      </w:tr>
      <w:tr w:rsidR="007C5589" w:rsidRPr="009E4A49" w14:paraId="4F0EEF04" w14:textId="77777777" w:rsidTr="009267B2">
        <w:trPr>
          <w:gridAfter w:val="1"/>
          <w:wAfter w:w="236" w:type="dxa"/>
          <w:trHeight w:val="570"/>
        </w:trPr>
        <w:tc>
          <w:tcPr>
            <w:tcW w:w="1134" w:type="dxa"/>
            <w:tcBorders>
              <w:top w:val="nil"/>
              <w:left w:val="single" w:sz="4" w:space="0" w:color="auto"/>
              <w:bottom w:val="single" w:sz="4" w:space="0" w:color="auto"/>
              <w:right w:val="single" w:sz="4" w:space="0" w:color="auto"/>
            </w:tcBorders>
            <w:noWrap/>
            <w:vAlign w:val="bottom"/>
            <w:hideMark/>
          </w:tcPr>
          <w:p w14:paraId="697EF28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31.12.2016</w:t>
            </w:r>
          </w:p>
        </w:tc>
        <w:tc>
          <w:tcPr>
            <w:tcW w:w="1276" w:type="dxa"/>
            <w:tcBorders>
              <w:top w:val="nil"/>
              <w:left w:val="nil"/>
              <w:bottom w:val="single" w:sz="4" w:space="0" w:color="auto"/>
              <w:right w:val="single" w:sz="4" w:space="0" w:color="auto"/>
            </w:tcBorders>
            <w:noWrap/>
            <w:vAlign w:val="bottom"/>
            <w:hideMark/>
          </w:tcPr>
          <w:p w14:paraId="462B204D"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55.525,16</w:t>
            </w:r>
          </w:p>
        </w:tc>
        <w:tc>
          <w:tcPr>
            <w:tcW w:w="1217" w:type="dxa"/>
            <w:tcBorders>
              <w:top w:val="nil"/>
              <w:left w:val="nil"/>
              <w:bottom w:val="single" w:sz="4" w:space="0" w:color="auto"/>
              <w:right w:val="single" w:sz="4" w:space="0" w:color="auto"/>
            </w:tcBorders>
            <w:noWrap/>
            <w:vAlign w:val="bottom"/>
            <w:hideMark/>
          </w:tcPr>
          <w:p w14:paraId="7F82FC1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F0E018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12.358,79</w:t>
            </w:r>
          </w:p>
        </w:tc>
        <w:tc>
          <w:tcPr>
            <w:tcW w:w="1418" w:type="dxa"/>
            <w:tcBorders>
              <w:top w:val="nil"/>
              <w:left w:val="nil"/>
              <w:bottom w:val="single" w:sz="4" w:space="0" w:color="auto"/>
              <w:right w:val="single" w:sz="4" w:space="0" w:color="auto"/>
            </w:tcBorders>
            <w:noWrap/>
            <w:vAlign w:val="bottom"/>
            <w:hideMark/>
          </w:tcPr>
          <w:p w14:paraId="375E808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1.424.490,06</w:t>
            </w:r>
          </w:p>
        </w:tc>
        <w:tc>
          <w:tcPr>
            <w:tcW w:w="1984" w:type="dxa"/>
            <w:tcBorders>
              <w:top w:val="nil"/>
              <w:left w:val="nil"/>
              <w:bottom w:val="single" w:sz="4" w:space="0" w:color="auto"/>
              <w:right w:val="single" w:sz="4" w:space="0" w:color="auto"/>
            </w:tcBorders>
            <w:shd w:val="clear" w:color="000000" w:fill="FFFFFF"/>
            <w:vAlign w:val="bottom"/>
            <w:hideMark/>
          </w:tcPr>
          <w:p w14:paraId="3F7569A6"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22.02.2017 - 12.218,12 </w:t>
            </w:r>
          </w:p>
          <w:p w14:paraId="1662DE66"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04.04.2017 - 140,67</w:t>
            </w:r>
          </w:p>
        </w:tc>
        <w:tc>
          <w:tcPr>
            <w:tcW w:w="1701" w:type="dxa"/>
            <w:gridSpan w:val="2"/>
            <w:tcBorders>
              <w:top w:val="nil"/>
              <w:left w:val="nil"/>
              <w:bottom w:val="single" w:sz="4" w:space="0" w:color="auto"/>
              <w:right w:val="single" w:sz="4" w:space="0" w:color="auto"/>
            </w:tcBorders>
            <w:shd w:val="clear" w:color="000000" w:fill="FFFFFF"/>
            <w:vAlign w:val="bottom"/>
            <w:hideMark/>
          </w:tcPr>
          <w:p w14:paraId="69FAA16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12.12.2016 - 42.991,75 13.06.2017 - 174,62</w:t>
            </w:r>
          </w:p>
        </w:tc>
      </w:tr>
      <w:tr w:rsidR="007C5589" w:rsidRPr="009E4A49" w14:paraId="3015ACE5" w14:textId="77777777" w:rsidTr="009267B2">
        <w:trPr>
          <w:gridAfter w:val="1"/>
          <w:wAfter w:w="236" w:type="dxa"/>
          <w:trHeight w:val="540"/>
        </w:trPr>
        <w:tc>
          <w:tcPr>
            <w:tcW w:w="1134" w:type="dxa"/>
            <w:tcBorders>
              <w:top w:val="nil"/>
              <w:left w:val="single" w:sz="4" w:space="0" w:color="auto"/>
              <w:bottom w:val="single" w:sz="4" w:space="0" w:color="auto"/>
              <w:right w:val="single" w:sz="4" w:space="0" w:color="auto"/>
            </w:tcBorders>
            <w:noWrap/>
            <w:vAlign w:val="bottom"/>
            <w:hideMark/>
          </w:tcPr>
          <w:p w14:paraId="0AF45D4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31.3.2017</w:t>
            </w:r>
          </w:p>
        </w:tc>
        <w:tc>
          <w:tcPr>
            <w:tcW w:w="1276" w:type="dxa"/>
            <w:tcBorders>
              <w:top w:val="nil"/>
              <w:left w:val="nil"/>
              <w:bottom w:val="single" w:sz="4" w:space="0" w:color="auto"/>
              <w:right w:val="single" w:sz="4" w:space="0" w:color="auto"/>
            </w:tcBorders>
            <w:noWrap/>
            <w:vAlign w:val="bottom"/>
            <w:hideMark/>
          </w:tcPr>
          <w:p w14:paraId="5BABF53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54.932,69</w:t>
            </w:r>
          </w:p>
        </w:tc>
        <w:tc>
          <w:tcPr>
            <w:tcW w:w="1217" w:type="dxa"/>
            <w:tcBorders>
              <w:top w:val="nil"/>
              <w:left w:val="nil"/>
              <w:bottom w:val="single" w:sz="4" w:space="0" w:color="auto"/>
              <w:right w:val="single" w:sz="4" w:space="0" w:color="auto"/>
            </w:tcBorders>
            <w:noWrap/>
            <w:vAlign w:val="bottom"/>
            <w:hideMark/>
          </w:tcPr>
          <w:p w14:paraId="6EEB193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4C32615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11.766,32</w:t>
            </w:r>
          </w:p>
        </w:tc>
        <w:tc>
          <w:tcPr>
            <w:tcW w:w="1418" w:type="dxa"/>
            <w:tcBorders>
              <w:top w:val="nil"/>
              <w:left w:val="nil"/>
              <w:bottom w:val="single" w:sz="4" w:space="0" w:color="auto"/>
              <w:right w:val="single" w:sz="4" w:space="0" w:color="auto"/>
            </w:tcBorders>
            <w:noWrap/>
            <w:vAlign w:val="bottom"/>
            <w:hideMark/>
          </w:tcPr>
          <w:p w14:paraId="43CC254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1.381.323,69</w:t>
            </w:r>
          </w:p>
        </w:tc>
        <w:tc>
          <w:tcPr>
            <w:tcW w:w="1984" w:type="dxa"/>
            <w:tcBorders>
              <w:top w:val="nil"/>
              <w:left w:val="nil"/>
              <w:bottom w:val="single" w:sz="4" w:space="0" w:color="auto"/>
              <w:right w:val="single" w:sz="4" w:space="0" w:color="auto"/>
            </w:tcBorders>
            <w:vAlign w:val="bottom"/>
            <w:hideMark/>
          </w:tcPr>
          <w:p w14:paraId="09BF3897"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 xml:space="preserve">04.04.2017 - 11.613,76 </w:t>
            </w:r>
          </w:p>
          <w:p w14:paraId="07EAAEE2"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05.07.2017 - 152,56</w:t>
            </w:r>
          </w:p>
        </w:tc>
        <w:tc>
          <w:tcPr>
            <w:tcW w:w="1701" w:type="dxa"/>
            <w:gridSpan w:val="2"/>
            <w:tcBorders>
              <w:top w:val="nil"/>
              <w:left w:val="nil"/>
              <w:bottom w:val="single" w:sz="4" w:space="0" w:color="auto"/>
              <w:right w:val="single" w:sz="4" w:space="0" w:color="auto"/>
            </w:tcBorders>
            <w:vAlign w:val="bottom"/>
            <w:hideMark/>
          </w:tcPr>
          <w:p w14:paraId="5143C62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28.3.2017</w:t>
            </w:r>
          </w:p>
        </w:tc>
      </w:tr>
      <w:tr w:rsidR="007C5589" w:rsidRPr="009E4A49" w14:paraId="6AF2076C" w14:textId="77777777" w:rsidTr="009267B2">
        <w:trPr>
          <w:gridAfter w:val="1"/>
          <w:wAfter w:w="236" w:type="dxa"/>
          <w:trHeight w:val="570"/>
        </w:trPr>
        <w:tc>
          <w:tcPr>
            <w:tcW w:w="1134" w:type="dxa"/>
            <w:tcBorders>
              <w:top w:val="nil"/>
              <w:left w:val="single" w:sz="4" w:space="0" w:color="auto"/>
              <w:bottom w:val="single" w:sz="4" w:space="0" w:color="auto"/>
              <w:right w:val="single" w:sz="4" w:space="0" w:color="auto"/>
            </w:tcBorders>
            <w:noWrap/>
            <w:vAlign w:val="bottom"/>
            <w:hideMark/>
          </w:tcPr>
          <w:p w14:paraId="4A96A82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30.6.2017</w:t>
            </w:r>
          </w:p>
        </w:tc>
        <w:tc>
          <w:tcPr>
            <w:tcW w:w="1276" w:type="dxa"/>
            <w:tcBorders>
              <w:top w:val="nil"/>
              <w:left w:val="nil"/>
              <w:bottom w:val="single" w:sz="4" w:space="0" w:color="auto"/>
              <w:right w:val="single" w:sz="4" w:space="0" w:color="auto"/>
            </w:tcBorders>
            <w:noWrap/>
            <w:vAlign w:val="bottom"/>
            <w:hideMark/>
          </w:tcPr>
          <w:p w14:paraId="10BDCDA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54.703,26</w:t>
            </w:r>
          </w:p>
        </w:tc>
        <w:tc>
          <w:tcPr>
            <w:tcW w:w="1217" w:type="dxa"/>
            <w:tcBorders>
              <w:top w:val="nil"/>
              <w:left w:val="nil"/>
              <w:bottom w:val="single" w:sz="4" w:space="0" w:color="auto"/>
              <w:right w:val="single" w:sz="4" w:space="0" w:color="auto"/>
            </w:tcBorders>
            <w:noWrap/>
            <w:vAlign w:val="bottom"/>
            <w:hideMark/>
          </w:tcPr>
          <w:p w14:paraId="5C86CE8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3AAD71C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11.536,89</w:t>
            </w:r>
          </w:p>
        </w:tc>
        <w:tc>
          <w:tcPr>
            <w:tcW w:w="1418" w:type="dxa"/>
            <w:tcBorders>
              <w:top w:val="nil"/>
              <w:left w:val="nil"/>
              <w:bottom w:val="single" w:sz="4" w:space="0" w:color="auto"/>
              <w:right w:val="single" w:sz="4" w:space="0" w:color="auto"/>
            </w:tcBorders>
            <w:noWrap/>
            <w:vAlign w:val="bottom"/>
            <w:hideMark/>
          </w:tcPr>
          <w:p w14:paraId="2AF382C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1.338.157,32</w:t>
            </w:r>
          </w:p>
        </w:tc>
        <w:tc>
          <w:tcPr>
            <w:tcW w:w="1984" w:type="dxa"/>
            <w:tcBorders>
              <w:top w:val="nil"/>
              <w:left w:val="nil"/>
              <w:bottom w:val="single" w:sz="4" w:space="0" w:color="auto"/>
              <w:right w:val="single" w:sz="4" w:space="0" w:color="auto"/>
            </w:tcBorders>
            <w:vAlign w:val="bottom"/>
            <w:hideMark/>
          </w:tcPr>
          <w:p w14:paraId="5AEC6302"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 xml:space="preserve">05.07.2017 - 11.316,98 </w:t>
            </w:r>
          </w:p>
          <w:p w14:paraId="399F1A58"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06.10.2017 - 219,91</w:t>
            </w:r>
          </w:p>
        </w:tc>
        <w:tc>
          <w:tcPr>
            <w:tcW w:w="1701" w:type="dxa"/>
            <w:gridSpan w:val="2"/>
            <w:tcBorders>
              <w:top w:val="nil"/>
              <w:left w:val="nil"/>
              <w:bottom w:val="single" w:sz="4" w:space="0" w:color="auto"/>
              <w:right w:val="single" w:sz="4" w:space="0" w:color="auto"/>
            </w:tcBorders>
            <w:vAlign w:val="bottom"/>
            <w:hideMark/>
          </w:tcPr>
          <w:p w14:paraId="27C27AE9"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13.06.2017 - 42.991,75 27.09.2017 - 174,62</w:t>
            </w:r>
          </w:p>
        </w:tc>
      </w:tr>
      <w:tr w:rsidR="007C5589" w:rsidRPr="009E4A49" w14:paraId="377D1097" w14:textId="77777777" w:rsidTr="009267B2">
        <w:trPr>
          <w:gridAfter w:val="1"/>
          <w:wAfter w:w="236" w:type="dxa"/>
          <w:trHeight w:val="585"/>
        </w:trPr>
        <w:tc>
          <w:tcPr>
            <w:tcW w:w="1134" w:type="dxa"/>
            <w:tcBorders>
              <w:top w:val="nil"/>
              <w:left w:val="single" w:sz="4" w:space="0" w:color="auto"/>
              <w:bottom w:val="single" w:sz="4" w:space="0" w:color="auto"/>
              <w:right w:val="single" w:sz="4" w:space="0" w:color="auto"/>
            </w:tcBorders>
            <w:noWrap/>
            <w:vAlign w:val="bottom"/>
            <w:hideMark/>
          </w:tcPr>
          <w:p w14:paraId="62139EB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30.9.2017</w:t>
            </w:r>
          </w:p>
        </w:tc>
        <w:tc>
          <w:tcPr>
            <w:tcW w:w="1276" w:type="dxa"/>
            <w:tcBorders>
              <w:top w:val="nil"/>
              <w:left w:val="nil"/>
              <w:bottom w:val="single" w:sz="4" w:space="0" w:color="auto"/>
              <w:right w:val="single" w:sz="4" w:space="0" w:color="auto"/>
            </w:tcBorders>
            <w:noWrap/>
            <w:vAlign w:val="bottom"/>
            <w:hideMark/>
          </w:tcPr>
          <w:p w14:paraId="25BC9C4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54.465,55</w:t>
            </w:r>
          </w:p>
        </w:tc>
        <w:tc>
          <w:tcPr>
            <w:tcW w:w="1217" w:type="dxa"/>
            <w:tcBorders>
              <w:top w:val="nil"/>
              <w:left w:val="nil"/>
              <w:bottom w:val="single" w:sz="4" w:space="0" w:color="auto"/>
              <w:right w:val="single" w:sz="4" w:space="0" w:color="auto"/>
            </w:tcBorders>
            <w:noWrap/>
            <w:vAlign w:val="bottom"/>
            <w:hideMark/>
          </w:tcPr>
          <w:p w14:paraId="4FC4732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3E81DEA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11.299,18</w:t>
            </w:r>
          </w:p>
        </w:tc>
        <w:tc>
          <w:tcPr>
            <w:tcW w:w="1418" w:type="dxa"/>
            <w:tcBorders>
              <w:top w:val="nil"/>
              <w:left w:val="nil"/>
              <w:bottom w:val="single" w:sz="4" w:space="0" w:color="auto"/>
              <w:right w:val="single" w:sz="4" w:space="0" w:color="auto"/>
            </w:tcBorders>
            <w:noWrap/>
            <w:vAlign w:val="bottom"/>
            <w:hideMark/>
          </w:tcPr>
          <w:p w14:paraId="17479DD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1.294.990,95</w:t>
            </w:r>
          </w:p>
        </w:tc>
        <w:tc>
          <w:tcPr>
            <w:tcW w:w="1984" w:type="dxa"/>
            <w:tcBorders>
              <w:top w:val="nil"/>
              <w:left w:val="nil"/>
              <w:bottom w:val="single" w:sz="4" w:space="0" w:color="auto"/>
              <w:right w:val="single" w:sz="4" w:space="0" w:color="auto"/>
            </w:tcBorders>
            <w:vAlign w:val="bottom"/>
            <w:hideMark/>
          </w:tcPr>
          <w:p w14:paraId="317DF2AE"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06.10.2017 - 11.067,39 </w:t>
            </w:r>
          </w:p>
          <w:p w14:paraId="47D3C6F1"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08.01.2018 - 231,79</w:t>
            </w:r>
          </w:p>
        </w:tc>
        <w:tc>
          <w:tcPr>
            <w:tcW w:w="1701" w:type="dxa"/>
            <w:gridSpan w:val="2"/>
            <w:tcBorders>
              <w:top w:val="nil"/>
              <w:left w:val="nil"/>
              <w:bottom w:val="single" w:sz="4" w:space="0" w:color="auto"/>
              <w:right w:val="single" w:sz="4" w:space="0" w:color="auto"/>
            </w:tcBorders>
            <w:vAlign w:val="bottom"/>
            <w:hideMark/>
          </w:tcPr>
          <w:p w14:paraId="2283DB3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27.09.2017 - 42.991,75 06.12.2017 - 174,62</w:t>
            </w:r>
          </w:p>
        </w:tc>
      </w:tr>
      <w:tr w:rsidR="007C5589" w:rsidRPr="009E4A49" w14:paraId="13930405" w14:textId="77777777" w:rsidTr="009267B2">
        <w:trPr>
          <w:gridAfter w:val="1"/>
          <w:wAfter w:w="236" w:type="dxa"/>
          <w:trHeight w:val="600"/>
        </w:trPr>
        <w:tc>
          <w:tcPr>
            <w:tcW w:w="1134" w:type="dxa"/>
            <w:tcBorders>
              <w:top w:val="nil"/>
              <w:left w:val="single" w:sz="4" w:space="0" w:color="auto"/>
              <w:bottom w:val="single" w:sz="4" w:space="0" w:color="auto"/>
              <w:right w:val="single" w:sz="4" w:space="0" w:color="auto"/>
            </w:tcBorders>
            <w:noWrap/>
            <w:vAlign w:val="bottom"/>
            <w:hideMark/>
          </w:tcPr>
          <w:p w14:paraId="53F23B4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31.12.2017</w:t>
            </w:r>
          </w:p>
        </w:tc>
        <w:tc>
          <w:tcPr>
            <w:tcW w:w="1276" w:type="dxa"/>
            <w:tcBorders>
              <w:top w:val="nil"/>
              <w:left w:val="nil"/>
              <w:bottom w:val="single" w:sz="4" w:space="0" w:color="auto"/>
              <w:right w:val="single" w:sz="4" w:space="0" w:color="auto"/>
            </w:tcBorders>
            <w:noWrap/>
            <w:vAlign w:val="bottom"/>
            <w:hideMark/>
          </w:tcPr>
          <w:p w14:paraId="0ED83AF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54.101,06</w:t>
            </w:r>
          </w:p>
        </w:tc>
        <w:tc>
          <w:tcPr>
            <w:tcW w:w="1217" w:type="dxa"/>
            <w:tcBorders>
              <w:top w:val="nil"/>
              <w:left w:val="nil"/>
              <w:bottom w:val="single" w:sz="4" w:space="0" w:color="auto"/>
              <w:right w:val="single" w:sz="4" w:space="0" w:color="auto"/>
            </w:tcBorders>
            <w:noWrap/>
            <w:vAlign w:val="bottom"/>
            <w:hideMark/>
          </w:tcPr>
          <w:p w14:paraId="185B672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591375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10.934,69</w:t>
            </w:r>
          </w:p>
        </w:tc>
        <w:tc>
          <w:tcPr>
            <w:tcW w:w="1418" w:type="dxa"/>
            <w:tcBorders>
              <w:top w:val="nil"/>
              <w:left w:val="nil"/>
              <w:bottom w:val="single" w:sz="4" w:space="0" w:color="auto"/>
              <w:right w:val="single" w:sz="4" w:space="0" w:color="auto"/>
            </w:tcBorders>
            <w:noWrap/>
            <w:vAlign w:val="bottom"/>
            <w:hideMark/>
          </w:tcPr>
          <w:p w14:paraId="2F039A0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1.251.824,58</w:t>
            </w:r>
          </w:p>
        </w:tc>
        <w:tc>
          <w:tcPr>
            <w:tcW w:w="1984" w:type="dxa"/>
            <w:tcBorders>
              <w:top w:val="nil"/>
              <w:left w:val="nil"/>
              <w:bottom w:val="single" w:sz="4" w:space="0" w:color="auto"/>
              <w:right w:val="single" w:sz="4" w:space="0" w:color="auto"/>
            </w:tcBorders>
            <w:vAlign w:val="bottom"/>
            <w:hideMark/>
          </w:tcPr>
          <w:p w14:paraId="3837FD11"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 xml:space="preserve">08.01.2018 - 10.603,86 </w:t>
            </w:r>
          </w:p>
          <w:p w14:paraId="56F453CF"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04.04.2018 - 330,83</w:t>
            </w:r>
          </w:p>
        </w:tc>
        <w:tc>
          <w:tcPr>
            <w:tcW w:w="1701" w:type="dxa"/>
            <w:gridSpan w:val="2"/>
            <w:tcBorders>
              <w:top w:val="nil"/>
              <w:left w:val="nil"/>
              <w:bottom w:val="single" w:sz="4" w:space="0" w:color="auto"/>
              <w:right w:val="single" w:sz="4" w:space="0" w:color="auto"/>
            </w:tcBorders>
            <w:vAlign w:val="bottom"/>
            <w:hideMark/>
          </w:tcPr>
          <w:p w14:paraId="764015D8"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06.12.2017 - 42.991,75 26.03.2018 - 174,62</w:t>
            </w:r>
          </w:p>
        </w:tc>
      </w:tr>
      <w:tr w:rsidR="007C5589" w:rsidRPr="009E4A49" w14:paraId="4C1E6CCB" w14:textId="77777777" w:rsidTr="009267B2">
        <w:trPr>
          <w:gridAfter w:val="1"/>
          <w:wAfter w:w="236" w:type="dxa"/>
          <w:trHeight w:val="570"/>
        </w:trPr>
        <w:tc>
          <w:tcPr>
            <w:tcW w:w="1134" w:type="dxa"/>
            <w:tcBorders>
              <w:top w:val="nil"/>
              <w:left w:val="single" w:sz="4" w:space="0" w:color="auto"/>
              <w:bottom w:val="single" w:sz="4" w:space="0" w:color="auto"/>
              <w:right w:val="single" w:sz="4" w:space="0" w:color="auto"/>
            </w:tcBorders>
            <w:noWrap/>
            <w:vAlign w:val="bottom"/>
            <w:hideMark/>
          </w:tcPr>
          <w:p w14:paraId="0A0DF3B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31.3.2018</w:t>
            </w:r>
          </w:p>
        </w:tc>
        <w:tc>
          <w:tcPr>
            <w:tcW w:w="1276" w:type="dxa"/>
            <w:tcBorders>
              <w:top w:val="nil"/>
              <w:left w:val="nil"/>
              <w:bottom w:val="single" w:sz="4" w:space="0" w:color="auto"/>
              <w:right w:val="single" w:sz="4" w:space="0" w:color="auto"/>
            </w:tcBorders>
            <w:noWrap/>
            <w:vAlign w:val="bottom"/>
            <w:hideMark/>
          </w:tcPr>
          <w:p w14:paraId="544C247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53.506,78</w:t>
            </w:r>
          </w:p>
        </w:tc>
        <w:tc>
          <w:tcPr>
            <w:tcW w:w="1217" w:type="dxa"/>
            <w:tcBorders>
              <w:top w:val="nil"/>
              <w:left w:val="nil"/>
              <w:bottom w:val="single" w:sz="4" w:space="0" w:color="auto"/>
              <w:right w:val="single" w:sz="4" w:space="0" w:color="auto"/>
            </w:tcBorders>
            <w:noWrap/>
            <w:vAlign w:val="bottom"/>
            <w:hideMark/>
          </w:tcPr>
          <w:p w14:paraId="081F2F9D"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F7259B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10.340,41</w:t>
            </w:r>
          </w:p>
        </w:tc>
        <w:tc>
          <w:tcPr>
            <w:tcW w:w="1418" w:type="dxa"/>
            <w:tcBorders>
              <w:top w:val="nil"/>
              <w:left w:val="nil"/>
              <w:bottom w:val="single" w:sz="4" w:space="0" w:color="auto"/>
              <w:right w:val="single" w:sz="4" w:space="0" w:color="auto"/>
            </w:tcBorders>
            <w:noWrap/>
            <w:vAlign w:val="bottom"/>
            <w:hideMark/>
          </w:tcPr>
          <w:p w14:paraId="50E8F72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1.208.658,21</w:t>
            </w:r>
          </w:p>
        </w:tc>
        <w:tc>
          <w:tcPr>
            <w:tcW w:w="1984" w:type="dxa"/>
            <w:tcBorders>
              <w:top w:val="nil"/>
              <w:left w:val="nil"/>
              <w:bottom w:val="single" w:sz="4" w:space="0" w:color="auto"/>
              <w:right w:val="single" w:sz="4" w:space="0" w:color="auto"/>
            </w:tcBorders>
            <w:vAlign w:val="bottom"/>
            <w:hideMark/>
          </w:tcPr>
          <w:p w14:paraId="145F8BE9"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04.04.2018 - 9.989,77</w:t>
            </w:r>
          </w:p>
        </w:tc>
        <w:tc>
          <w:tcPr>
            <w:tcW w:w="1701" w:type="dxa"/>
            <w:gridSpan w:val="2"/>
            <w:tcBorders>
              <w:top w:val="nil"/>
              <w:left w:val="nil"/>
              <w:bottom w:val="single" w:sz="4" w:space="0" w:color="auto"/>
              <w:right w:val="single" w:sz="4" w:space="0" w:color="auto"/>
            </w:tcBorders>
            <w:vAlign w:val="bottom"/>
            <w:hideMark/>
          </w:tcPr>
          <w:p w14:paraId="30872836"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26.03.2018 - 42.991,75 12.06.2018 - 174,62</w:t>
            </w:r>
          </w:p>
        </w:tc>
      </w:tr>
      <w:tr w:rsidR="007C5589" w:rsidRPr="009E4A49" w14:paraId="53092B3F"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6408508"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30.6.2018</w:t>
            </w:r>
          </w:p>
        </w:tc>
        <w:tc>
          <w:tcPr>
            <w:tcW w:w="1276" w:type="dxa"/>
            <w:tcBorders>
              <w:top w:val="nil"/>
              <w:left w:val="nil"/>
              <w:bottom w:val="single" w:sz="4" w:space="0" w:color="auto"/>
              <w:right w:val="single" w:sz="4" w:space="0" w:color="auto"/>
            </w:tcBorders>
            <w:noWrap/>
            <w:vAlign w:val="bottom"/>
            <w:hideMark/>
          </w:tcPr>
          <w:p w14:paraId="343C6337"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53.261,15</w:t>
            </w:r>
          </w:p>
        </w:tc>
        <w:tc>
          <w:tcPr>
            <w:tcW w:w="1217" w:type="dxa"/>
            <w:tcBorders>
              <w:top w:val="nil"/>
              <w:left w:val="nil"/>
              <w:bottom w:val="single" w:sz="4" w:space="0" w:color="auto"/>
              <w:right w:val="single" w:sz="4" w:space="0" w:color="auto"/>
            </w:tcBorders>
            <w:noWrap/>
            <w:vAlign w:val="bottom"/>
            <w:hideMark/>
          </w:tcPr>
          <w:p w14:paraId="0BB7109F"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43.166,37</w:t>
            </w:r>
          </w:p>
        </w:tc>
        <w:tc>
          <w:tcPr>
            <w:tcW w:w="1051" w:type="dxa"/>
            <w:tcBorders>
              <w:top w:val="nil"/>
              <w:left w:val="nil"/>
              <w:bottom w:val="single" w:sz="4" w:space="0" w:color="auto"/>
              <w:right w:val="single" w:sz="4" w:space="0" w:color="auto"/>
            </w:tcBorders>
            <w:noWrap/>
            <w:vAlign w:val="bottom"/>
            <w:hideMark/>
          </w:tcPr>
          <w:p w14:paraId="09055CDC"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10.094,78</w:t>
            </w:r>
          </w:p>
        </w:tc>
        <w:tc>
          <w:tcPr>
            <w:tcW w:w="1418" w:type="dxa"/>
            <w:tcBorders>
              <w:top w:val="nil"/>
              <w:left w:val="nil"/>
              <w:bottom w:val="single" w:sz="4" w:space="0" w:color="auto"/>
              <w:right w:val="single" w:sz="4" w:space="0" w:color="auto"/>
            </w:tcBorders>
            <w:noWrap/>
            <w:vAlign w:val="bottom"/>
            <w:hideMark/>
          </w:tcPr>
          <w:p w14:paraId="2DC82722"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1.165.491,84</w:t>
            </w:r>
          </w:p>
        </w:tc>
        <w:tc>
          <w:tcPr>
            <w:tcW w:w="1984" w:type="dxa"/>
            <w:tcBorders>
              <w:top w:val="nil"/>
              <w:left w:val="nil"/>
              <w:bottom w:val="single" w:sz="4" w:space="0" w:color="auto"/>
              <w:right w:val="single" w:sz="4" w:space="0" w:color="auto"/>
            </w:tcBorders>
            <w:noWrap/>
            <w:vAlign w:val="bottom"/>
            <w:hideMark/>
          </w:tcPr>
          <w:p w14:paraId="72921A91"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11.07.2018 - 10.023,47</w:t>
            </w:r>
          </w:p>
        </w:tc>
        <w:tc>
          <w:tcPr>
            <w:tcW w:w="1701" w:type="dxa"/>
            <w:gridSpan w:val="2"/>
            <w:tcBorders>
              <w:top w:val="nil"/>
              <w:left w:val="nil"/>
              <w:bottom w:val="single" w:sz="4" w:space="0" w:color="auto"/>
              <w:right w:val="single" w:sz="4" w:space="0" w:color="auto"/>
            </w:tcBorders>
            <w:vAlign w:val="bottom"/>
            <w:hideMark/>
          </w:tcPr>
          <w:p w14:paraId="6A1216FF"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12.06.2018 - 42.991,75 28.09.2018 - 174,62</w:t>
            </w:r>
          </w:p>
        </w:tc>
      </w:tr>
      <w:tr w:rsidR="007C5589" w:rsidRPr="009E4A49" w14:paraId="01435574"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21CCFE55"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30.9.2018</w:t>
            </w:r>
          </w:p>
        </w:tc>
        <w:tc>
          <w:tcPr>
            <w:tcW w:w="1276" w:type="dxa"/>
            <w:tcBorders>
              <w:top w:val="nil"/>
              <w:left w:val="nil"/>
              <w:bottom w:val="single" w:sz="4" w:space="0" w:color="auto"/>
              <w:right w:val="single" w:sz="4" w:space="0" w:color="auto"/>
            </w:tcBorders>
            <w:noWrap/>
            <w:vAlign w:val="bottom"/>
            <w:hideMark/>
          </w:tcPr>
          <w:p w14:paraId="5045D2AD"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53.007,59</w:t>
            </w:r>
          </w:p>
        </w:tc>
        <w:tc>
          <w:tcPr>
            <w:tcW w:w="1217" w:type="dxa"/>
            <w:tcBorders>
              <w:top w:val="nil"/>
              <w:left w:val="nil"/>
              <w:bottom w:val="single" w:sz="4" w:space="0" w:color="auto"/>
              <w:right w:val="single" w:sz="4" w:space="0" w:color="auto"/>
            </w:tcBorders>
            <w:noWrap/>
            <w:vAlign w:val="bottom"/>
            <w:hideMark/>
          </w:tcPr>
          <w:p w14:paraId="21B021D9"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43.166,37</w:t>
            </w:r>
          </w:p>
        </w:tc>
        <w:tc>
          <w:tcPr>
            <w:tcW w:w="1051" w:type="dxa"/>
            <w:tcBorders>
              <w:top w:val="nil"/>
              <w:left w:val="nil"/>
              <w:bottom w:val="single" w:sz="4" w:space="0" w:color="auto"/>
              <w:right w:val="single" w:sz="4" w:space="0" w:color="auto"/>
            </w:tcBorders>
            <w:noWrap/>
            <w:vAlign w:val="bottom"/>
            <w:hideMark/>
          </w:tcPr>
          <w:p w14:paraId="7D0F43FE"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9.841,22</w:t>
            </w:r>
          </w:p>
        </w:tc>
        <w:tc>
          <w:tcPr>
            <w:tcW w:w="1418" w:type="dxa"/>
            <w:tcBorders>
              <w:top w:val="nil"/>
              <w:left w:val="nil"/>
              <w:bottom w:val="single" w:sz="4" w:space="0" w:color="auto"/>
              <w:right w:val="single" w:sz="4" w:space="0" w:color="auto"/>
            </w:tcBorders>
            <w:noWrap/>
            <w:vAlign w:val="bottom"/>
            <w:hideMark/>
          </w:tcPr>
          <w:p w14:paraId="4DB05006"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1.122.325,47</w:t>
            </w:r>
          </w:p>
        </w:tc>
        <w:tc>
          <w:tcPr>
            <w:tcW w:w="1984" w:type="dxa"/>
            <w:tcBorders>
              <w:top w:val="nil"/>
              <w:left w:val="nil"/>
              <w:bottom w:val="single" w:sz="4" w:space="0" w:color="auto"/>
              <w:right w:val="single" w:sz="4" w:space="0" w:color="auto"/>
            </w:tcBorders>
            <w:noWrap/>
            <w:vAlign w:val="bottom"/>
            <w:hideMark/>
          </w:tcPr>
          <w:p w14:paraId="7FFACD9E"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03.10.2018 - 9.833,30</w:t>
            </w:r>
          </w:p>
        </w:tc>
        <w:tc>
          <w:tcPr>
            <w:tcW w:w="1701" w:type="dxa"/>
            <w:gridSpan w:val="2"/>
            <w:tcBorders>
              <w:top w:val="nil"/>
              <w:left w:val="nil"/>
              <w:bottom w:val="single" w:sz="4" w:space="0" w:color="auto"/>
              <w:right w:val="single" w:sz="4" w:space="0" w:color="auto"/>
            </w:tcBorders>
            <w:noWrap/>
            <w:vAlign w:val="bottom"/>
            <w:hideMark/>
          </w:tcPr>
          <w:p w14:paraId="53AF25A0"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28.09.2018 - 42.991,75 13.12.2018 - 174,62</w:t>
            </w:r>
          </w:p>
        </w:tc>
      </w:tr>
      <w:tr w:rsidR="007C5589" w:rsidRPr="009E4A49" w14:paraId="40BECE87"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0F31ECF4"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31.12.2018</w:t>
            </w:r>
          </w:p>
        </w:tc>
        <w:tc>
          <w:tcPr>
            <w:tcW w:w="1276" w:type="dxa"/>
            <w:tcBorders>
              <w:top w:val="nil"/>
              <w:left w:val="nil"/>
              <w:bottom w:val="single" w:sz="4" w:space="0" w:color="auto"/>
              <w:right w:val="single" w:sz="4" w:space="0" w:color="auto"/>
            </w:tcBorders>
            <w:noWrap/>
            <w:vAlign w:val="bottom"/>
            <w:hideMark/>
          </w:tcPr>
          <w:p w14:paraId="095C0DC2"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52.643,10</w:t>
            </w:r>
          </w:p>
        </w:tc>
        <w:tc>
          <w:tcPr>
            <w:tcW w:w="1217" w:type="dxa"/>
            <w:tcBorders>
              <w:top w:val="nil"/>
              <w:left w:val="nil"/>
              <w:bottom w:val="single" w:sz="4" w:space="0" w:color="auto"/>
              <w:right w:val="single" w:sz="4" w:space="0" w:color="auto"/>
            </w:tcBorders>
            <w:noWrap/>
            <w:vAlign w:val="bottom"/>
            <w:hideMark/>
          </w:tcPr>
          <w:p w14:paraId="2B888489"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43.166,37</w:t>
            </w:r>
          </w:p>
        </w:tc>
        <w:tc>
          <w:tcPr>
            <w:tcW w:w="1051" w:type="dxa"/>
            <w:tcBorders>
              <w:top w:val="nil"/>
              <w:left w:val="nil"/>
              <w:bottom w:val="single" w:sz="4" w:space="0" w:color="auto"/>
              <w:right w:val="single" w:sz="4" w:space="0" w:color="auto"/>
            </w:tcBorders>
            <w:noWrap/>
            <w:vAlign w:val="bottom"/>
            <w:hideMark/>
          </w:tcPr>
          <w:p w14:paraId="2F514EAE"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9.476,73</w:t>
            </w:r>
          </w:p>
        </w:tc>
        <w:tc>
          <w:tcPr>
            <w:tcW w:w="1418" w:type="dxa"/>
            <w:tcBorders>
              <w:top w:val="nil"/>
              <w:left w:val="nil"/>
              <w:bottom w:val="single" w:sz="4" w:space="0" w:color="auto"/>
              <w:right w:val="single" w:sz="4" w:space="0" w:color="auto"/>
            </w:tcBorders>
            <w:noWrap/>
            <w:vAlign w:val="bottom"/>
            <w:hideMark/>
          </w:tcPr>
          <w:p w14:paraId="5D442F4E"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1.079.159,10</w:t>
            </w:r>
          </w:p>
        </w:tc>
        <w:tc>
          <w:tcPr>
            <w:tcW w:w="1984" w:type="dxa"/>
            <w:tcBorders>
              <w:top w:val="nil"/>
              <w:left w:val="nil"/>
              <w:bottom w:val="single" w:sz="4" w:space="0" w:color="auto"/>
              <w:right w:val="single" w:sz="4" w:space="0" w:color="auto"/>
            </w:tcBorders>
            <w:noWrap/>
            <w:vAlign w:val="bottom"/>
            <w:hideMark/>
          </w:tcPr>
          <w:p w14:paraId="1BD7AD79"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 07.01.2019 - 9.405,42</w:t>
            </w:r>
          </w:p>
        </w:tc>
        <w:tc>
          <w:tcPr>
            <w:tcW w:w="1701" w:type="dxa"/>
            <w:gridSpan w:val="2"/>
            <w:tcBorders>
              <w:top w:val="nil"/>
              <w:left w:val="nil"/>
              <w:bottom w:val="single" w:sz="4" w:space="0" w:color="auto"/>
              <w:right w:val="single" w:sz="4" w:space="0" w:color="auto"/>
            </w:tcBorders>
            <w:noWrap/>
            <w:vAlign w:val="bottom"/>
            <w:hideMark/>
          </w:tcPr>
          <w:p w14:paraId="3C26CCEE"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13.12.2018 - 42.991,75</w:t>
            </w:r>
          </w:p>
          <w:p w14:paraId="3790955C"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26.03.2019 - 174,62</w:t>
            </w:r>
          </w:p>
        </w:tc>
      </w:tr>
      <w:tr w:rsidR="007C5589" w:rsidRPr="009E4A49" w14:paraId="0E6B3AAE"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305DE4B"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31.3.2019</w:t>
            </w:r>
          </w:p>
        </w:tc>
        <w:tc>
          <w:tcPr>
            <w:tcW w:w="1276" w:type="dxa"/>
            <w:tcBorders>
              <w:top w:val="nil"/>
              <w:left w:val="nil"/>
              <w:bottom w:val="single" w:sz="4" w:space="0" w:color="auto"/>
              <w:right w:val="single" w:sz="4" w:space="0" w:color="auto"/>
            </w:tcBorders>
            <w:noWrap/>
            <w:vAlign w:val="bottom"/>
            <w:hideMark/>
          </w:tcPr>
          <w:p w14:paraId="432DC780"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52.080,52</w:t>
            </w:r>
          </w:p>
        </w:tc>
        <w:tc>
          <w:tcPr>
            <w:tcW w:w="1217" w:type="dxa"/>
            <w:tcBorders>
              <w:top w:val="nil"/>
              <w:left w:val="nil"/>
              <w:bottom w:val="single" w:sz="4" w:space="0" w:color="auto"/>
              <w:right w:val="single" w:sz="4" w:space="0" w:color="auto"/>
            </w:tcBorders>
            <w:noWrap/>
            <w:vAlign w:val="bottom"/>
            <w:hideMark/>
          </w:tcPr>
          <w:p w14:paraId="4E4B54D6"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43.166,37</w:t>
            </w:r>
          </w:p>
        </w:tc>
        <w:tc>
          <w:tcPr>
            <w:tcW w:w="1051" w:type="dxa"/>
            <w:tcBorders>
              <w:top w:val="nil"/>
              <w:left w:val="nil"/>
              <w:bottom w:val="single" w:sz="4" w:space="0" w:color="auto"/>
              <w:right w:val="single" w:sz="4" w:space="0" w:color="auto"/>
            </w:tcBorders>
            <w:noWrap/>
            <w:vAlign w:val="bottom"/>
            <w:hideMark/>
          </w:tcPr>
          <w:p w14:paraId="3B027FB1"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8.914,15</w:t>
            </w:r>
          </w:p>
        </w:tc>
        <w:tc>
          <w:tcPr>
            <w:tcW w:w="1418" w:type="dxa"/>
            <w:tcBorders>
              <w:top w:val="nil"/>
              <w:left w:val="nil"/>
              <w:bottom w:val="single" w:sz="4" w:space="0" w:color="auto"/>
              <w:right w:val="single" w:sz="4" w:space="0" w:color="auto"/>
            </w:tcBorders>
            <w:noWrap/>
            <w:vAlign w:val="bottom"/>
            <w:hideMark/>
          </w:tcPr>
          <w:p w14:paraId="69E97CFE"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1.035.992,73</w:t>
            </w:r>
          </w:p>
        </w:tc>
        <w:tc>
          <w:tcPr>
            <w:tcW w:w="1984" w:type="dxa"/>
            <w:tcBorders>
              <w:top w:val="nil"/>
              <w:left w:val="nil"/>
              <w:bottom w:val="single" w:sz="4" w:space="0" w:color="auto"/>
              <w:right w:val="single" w:sz="4" w:space="0" w:color="auto"/>
            </w:tcBorders>
            <w:noWrap/>
            <w:vAlign w:val="bottom"/>
            <w:hideMark/>
          </w:tcPr>
          <w:p w14:paraId="3D6D185B"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 02.04.2019 - 8.894,34</w:t>
            </w:r>
          </w:p>
        </w:tc>
        <w:tc>
          <w:tcPr>
            <w:tcW w:w="1701" w:type="dxa"/>
            <w:gridSpan w:val="2"/>
            <w:tcBorders>
              <w:top w:val="nil"/>
              <w:left w:val="nil"/>
              <w:bottom w:val="single" w:sz="4" w:space="0" w:color="auto"/>
              <w:right w:val="single" w:sz="4" w:space="0" w:color="auto"/>
            </w:tcBorders>
            <w:noWrap/>
            <w:vAlign w:val="bottom"/>
            <w:hideMark/>
          </w:tcPr>
          <w:p w14:paraId="1D4C2D1C"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sz w:val="16"/>
                <w:szCs w:val="16"/>
              </w:rPr>
              <w:t>26.03.2019 - 42.991,75 26.06.2019 - 174,62</w:t>
            </w:r>
          </w:p>
        </w:tc>
      </w:tr>
      <w:tr w:rsidR="007C5589" w:rsidRPr="009E4A49" w14:paraId="65356971"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2B6DED5"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30.6.2019</w:t>
            </w:r>
          </w:p>
        </w:tc>
        <w:tc>
          <w:tcPr>
            <w:tcW w:w="1276" w:type="dxa"/>
            <w:tcBorders>
              <w:top w:val="nil"/>
              <w:left w:val="nil"/>
              <w:bottom w:val="single" w:sz="4" w:space="0" w:color="auto"/>
              <w:right w:val="single" w:sz="4" w:space="0" w:color="auto"/>
            </w:tcBorders>
            <w:noWrap/>
            <w:vAlign w:val="bottom"/>
            <w:hideMark/>
          </w:tcPr>
          <w:p w14:paraId="7C8F5F00"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51.819,04</w:t>
            </w:r>
          </w:p>
        </w:tc>
        <w:tc>
          <w:tcPr>
            <w:tcW w:w="1217" w:type="dxa"/>
            <w:tcBorders>
              <w:top w:val="nil"/>
              <w:left w:val="nil"/>
              <w:bottom w:val="single" w:sz="4" w:space="0" w:color="auto"/>
              <w:right w:val="single" w:sz="4" w:space="0" w:color="auto"/>
            </w:tcBorders>
            <w:noWrap/>
            <w:vAlign w:val="bottom"/>
            <w:hideMark/>
          </w:tcPr>
          <w:p w14:paraId="233C8A19"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43.166,37</w:t>
            </w:r>
          </w:p>
        </w:tc>
        <w:tc>
          <w:tcPr>
            <w:tcW w:w="1051" w:type="dxa"/>
            <w:tcBorders>
              <w:top w:val="nil"/>
              <w:left w:val="nil"/>
              <w:bottom w:val="single" w:sz="4" w:space="0" w:color="auto"/>
              <w:right w:val="single" w:sz="4" w:space="0" w:color="auto"/>
            </w:tcBorders>
            <w:noWrap/>
            <w:vAlign w:val="bottom"/>
            <w:hideMark/>
          </w:tcPr>
          <w:p w14:paraId="648AA7BD"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8.652,67</w:t>
            </w:r>
          </w:p>
        </w:tc>
        <w:tc>
          <w:tcPr>
            <w:tcW w:w="1418" w:type="dxa"/>
            <w:tcBorders>
              <w:top w:val="nil"/>
              <w:left w:val="nil"/>
              <w:bottom w:val="single" w:sz="4" w:space="0" w:color="auto"/>
              <w:right w:val="single" w:sz="4" w:space="0" w:color="auto"/>
            </w:tcBorders>
            <w:noWrap/>
            <w:vAlign w:val="bottom"/>
            <w:hideMark/>
          </w:tcPr>
          <w:p w14:paraId="3651E284" w14:textId="77777777" w:rsidR="007C5589" w:rsidRPr="009E4A49" w:rsidRDefault="007C5589" w:rsidP="001870D6">
            <w:pPr>
              <w:spacing w:after="0" w:line="240" w:lineRule="auto"/>
              <w:jc w:val="right"/>
              <w:rPr>
                <w:rFonts w:ascii="Times New Roman" w:hAnsi="Times New Roman"/>
                <w:sz w:val="16"/>
                <w:szCs w:val="16"/>
              </w:rPr>
            </w:pPr>
            <w:r w:rsidRPr="009E4A49">
              <w:rPr>
                <w:rFonts w:ascii="Times New Roman" w:hAnsi="Times New Roman"/>
                <w:sz w:val="16"/>
                <w:szCs w:val="16"/>
              </w:rPr>
              <w:t>992.826,36</w:t>
            </w:r>
          </w:p>
        </w:tc>
        <w:tc>
          <w:tcPr>
            <w:tcW w:w="1984" w:type="dxa"/>
            <w:tcBorders>
              <w:top w:val="nil"/>
              <w:left w:val="nil"/>
              <w:bottom w:val="single" w:sz="4" w:space="0" w:color="auto"/>
              <w:right w:val="single" w:sz="4" w:space="0" w:color="auto"/>
            </w:tcBorders>
            <w:noWrap/>
            <w:vAlign w:val="bottom"/>
            <w:hideMark/>
          </w:tcPr>
          <w:p w14:paraId="7E6BA828"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color w:val="000000"/>
                <w:sz w:val="16"/>
                <w:szCs w:val="16"/>
              </w:rPr>
              <w:t> 04.07.2019 – 8.652,67</w:t>
            </w:r>
          </w:p>
        </w:tc>
        <w:tc>
          <w:tcPr>
            <w:tcW w:w="1701" w:type="dxa"/>
            <w:gridSpan w:val="2"/>
            <w:tcBorders>
              <w:top w:val="nil"/>
              <w:left w:val="nil"/>
              <w:bottom w:val="single" w:sz="4" w:space="0" w:color="auto"/>
              <w:right w:val="single" w:sz="4" w:space="0" w:color="auto"/>
            </w:tcBorders>
            <w:noWrap/>
            <w:vAlign w:val="bottom"/>
            <w:hideMark/>
          </w:tcPr>
          <w:p w14:paraId="031F0E4E"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26.06.2019 - 42.991,75</w:t>
            </w:r>
          </w:p>
          <w:p w14:paraId="59747EE8" w14:textId="77777777" w:rsidR="007C5589" w:rsidRPr="009E4A49" w:rsidRDefault="007C5589" w:rsidP="001870D6">
            <w:pPr>
              <w:spacing w:after="0" w:line="240" w:lineRule="auto"/>
              <w:rPr>
                <w:rFonts w:ascii="Times New Roman" w:hAnsi="Times New Roman"/>
                <w:sz w:val="16"/>
                <w:szCs w:val="16"/>
              </w:rPr>
            </w:pPr>
            <w:r w:rsidRPr="009E4A49">
              <w:rPr>
                <w:rFonts w:ascii="Times New Roman" w:hAnsi="Times New Roman"/>
                <w:color w:val="000000"/>
                <w:sz w:val="16"/>
                <w:szCs w:val="16"/>
              </w:rPr>
              <w:t>16.09.2019 – 174,62</w:t>
            </w:r>
          </w:p>
        </w:tc>
      </w:tr>
      <w:tr w:rsidR="007C5589" w:rsidRPr="009E4A49" w14:paraId="0005E5F0"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D1AF8C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30.9.2019</w:t>
            </w:r>
          </w:p>
        </w:tc>
        <w:tc>
          <w:tcPr>
            <w:tcW w:w="1276" w:type="dxa"/>
            <w:tcBorders>
              <w:top w:val="nil"/>
              <w:left w:val="nil"/>
              <w:bottom w:val="single" w:sz="4" w:space="0" w:color="auto"/>
              <w:right w:val="single" w:sz="4" w:space="0" w:color="auto"/>
            </w:tcBorders>
            <w:noWrap/>
            <w:vAlign w:val="bottom"/>
            <w:hideMark/>
          </w:tcPr>
          <w:p w14:paraId="1EC5E2C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51.549,63</w:t>
            </w:r>
          </w:p>
        </w:tc>
        <w:tc>
          <w:tcPr>
            <w:tcW w:w="1217" w:type="dxa"/>
            <w:tcBorders>
              <w:top w:val="nil"/>
              <w:left w:val="nil"/>
              <w:bottom w:val="single" w:sz="4" w:space="0" w:color="auto"/>
              <w:right w:val="single" w:sz="4" w:space="0" w:color="auto"/>
            </w:tcBorders>
            <w:noWrap/>
            <w:vAlign w:val="bottom"/>
            <w:hideMark/>
          </w:tcPr>
          <w:p w14:paraId="2898A30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2B36E7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8.383,26</w:t>
            </w:r>
          </w:p>
        </w:tc>
        <w:tc>
          <w:tcPr>
            <w:tcW w:w="1418" w:type="dxa"/>
            <w:tcBorders>
              <w:top w:val="nil"/>
              <w:left w:val="nil"/>
              <w:bottom w:val="single" w:sz="4" w:space="0" w:color="auto"/>
              <w:right w:val="single" w:sz="4" w:space="0" w:color="auto"/>
            </w:tcBorders>
            <w:noWrap/>
            <w:vAlign w:val="bottom"/>
            <w:hideMark/>
          </w:tcPr>
          <w:p w14:paraId="38A13E5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949.659,99</w:t>
            </w:r>
          </w:p>
        </w:tc>
        <w:tc>
          <w:tcPr>
            <w:tcW w:w="1984" w:type="dxa"/>
            <w:tcBorders>
              <w:top w:val="nil"/>
              <w:left w:val="nil"/>
              <w:bottom w:val="single" w:sz="4" w:space="0" w:color="auto"/>
              <w:right w:val="single" w:sz="4" w:space="0" w:color="auto"/>
            </w:tcBorders>
            <w:noWrap/>
            <w:vAlign w:val="bottom"/>
            <w:hideMark/>
          </w:tcPr>
          <w:p w14:paraId="1CE18685"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02.10.2019 – 8.327,67</w:t>
            </w:r>
          </w:p>
        </w:tc>
        <w:tc>
          <w:tcPr>
            <w:tcW w:w="1701" w:type="dxa"/>
            <w:gridSpan w:val="2"/>
            <w:tcBorders>
              <w:top w:val="nil"/>
              <w:left w:val="nil"/>
              <w:bottom w:val="single" w:sz="4" w:space="0" w:color="auto"/>
              <w:right w:val="single" w:sz="4" w:space="0" w:color="auto"/>
            </w:tcBorders>
            <w:noWrap/>
            <w:vAlign w:val="bottom"/>
            <w:hideMark/>
          </w:tcPr>
          <w:p w14:paraId="12F270EA"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16.09.2019 - 42.991,75</w:t>
            </w:r>
          </w:p>
          <w:p w14:paraId="79E27741"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17.12.2019 – 174,62</w:t>
            </w:r>
          </w:p>
        </w:tc>
      </w:tr>
      <w:tr w:rsidR="007C5589" w:rsidRPr="009E4A49" w14:paraId="14F9686F"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D52DC4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31.12.2019</w:t>
            </w:r>
          </w:p>
        </w:tc>
        <w:tc>
          <w:tcPr>
            <w:tcW w:w="1276" w:type="dxa"/>
            <w:tcBorders>
              <w:top w:val="nil"/>
              <w:left w:val="nil"/>
              <w:bottom w:val="single" w:sz="4" w:space="0" w:color="auto"/>
              <w:right w:val="single" w:sz="4" w:space="0" w:color="auto"/>
            </w:tcBorders>
            <w:noWrap/>
            <w:vAlign w:val="bottom"/>
            <w:hideMark/>
          </w:tcPr>
          <w:p w14:paraId="6ED8D96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51.185,14</w:t>
            </w:r>
          </w:p>
        </w:tc>
        <w:tc>
          <w:tcPr>
            <w:tcW w:w="1217" w:type="dxa"/>
            <w:tcBorders>
              <w:top w:val="nil"/>
              <w:left w:val="nil"/>
              <w:bottom w:val="single" w:sz="4" w:space="0" w:color="auto"/>
              <w:right w:val="single" w:sz="4" w:space="0" w:color="auto"/>
            </w:tcBorders>
            <w:noWrap/>
            <w:vAlign w:val="bottom"/>
            <w:hideMark/>
          </w:tcPr>
          <w:p w14:paraId="1018E46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5FF7F9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8.018,77</w:t>
            </w:r>
          </w:p>
        </w:tc>
        <w:tc>
          <w:tcPr>
            <w:tcW w:w="1418" w:type="dxa"/>
            <w:tcBorders>
              <w:top w:val="nil"/>
              <w:left w:val="nil"/>
              <w:bottom w:val="single" w:sz="4" w:space="0" w:color="auto"/>
              <w:right w:val="single" w:sz="4" w:space="0" w:color="auto"/>
            </w:tcBorders>
            <w:noWrap/>
            <w:vAlign w:val="bottom"/>
            <w:hideMark/>
          </w:tcPr>
          <w:p w14:paraId="55CD94F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906.493,62</w:t>
            </w:r>
          </w:p>
        </w:tc>
        <w:tc>
          <w:tcPr>
            <w:tcW w:w="1984" w:type="dxa"/>
            <w:tcBorders>
              <w:top w:val="nil"/>
              <w:left w:val="nil"/>
              <w:bottom w:val="single" w:sz="4" w:space="0" w:color="auto"/>
              <w:right w:val="single" w:sz="4" w:space="0" w:color="auto"/>
            </w:tcBorders>
            <w:noWrap/>
            <w:vAlign w:val="bottom"/>
            <w:hideMark/>
          </w:tcPr>
          <w:p w14:paraId="4AD8F03E"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08.01.2020 – 7.963,17</w:t>
            </w:r>
          </w:p>
        </w:tc>
        <w:tc>
          <w:tcPr>
            <w:tcW w:w="1701" w:type="dxa"/>
            <w:gridSpan w:val="2"/>
            <w:tcBorders>
              <w:top w:val="nil"/>
              <w:left w:val="nil"/>
              <w:bottom w:val="single" w:sz="4" w:space="0" w:color="auto"/>
              <w:right w:val="single" w:sz="4" w:space="0" w:color="auto"/>
            </w:tcBorders>
            <w:noWrap/>
            <w:vAlign w:val="bottom"/>
            <w:hideMark/>
          </w:tcPr>
          <w:p w14:paraId="7F8567EA"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17.12.2019 – 42.991,75</w:t>
            </w:r>
          </w:p>
          <w:p w14:paraId="3BF083B4"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31.03.2020 – 174,75</w:t>
            </w:r>
          </w:p>
        </w:tc>
      </w:tr>
      <w:tr w:rsidR="007C5589" w:rsidRPr="009E4A49" w14:paraId="06281014"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3F282E3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lastRenderedPageBreak/>
              <w:t>31.3.2020</w:t>
            </w:r>
          </w:p>
        </w:tc>
        <w:tc>
          <w:tcPr>
            <w:tcW w:w="1276" w:type="dxa"/>
            <w:tcBorders>
              <w:top w:val="nil"/>
              <w:left w:val="nil"/>
              <w:bottom w:val="single" w:sz="4" w:space="0" w:color="auto"/>
              <w:right w:val="single" w:sz="4" w:space="0" w:color="auto"/>
            </w:tcBorders>
            <w:noWrap/>
            <w:vAlign w:val="bottom"/>
            <w:hideMark/>
          </w:tcPr>
          <w:p w14:paraId="038196D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50.717,00</w:t>
            </w:r>
          </w:p>
        </w:tc>
        <w:tc>
          <w:tcPr>
            <w:tcW w:w="1217" w:type="dxa"/>
            <w:tcBorders>
              <w:top w:val="nil"/>
              <w:left w:val="nil"/>
              <w:bottom w:val="single" w:sz="4" w:space="0" w:color="auto"/>
              <w:right w:val="single" w:sz="4" w:space="0" w:color="auto"/>
            </w:tcBorders>
            <w:noWrap/>
            <w:vAlign w:val="bottom"/>
            <w:hideMark/>
          </w:tcPr>
          <w:p w14:paraId="1D83E1E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677D950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7.550,63</w:t>
            </w:r>
          </w:p>
        </w:tc>
        <w:tc>
          <w:tcPr>
            <w:tcW w:w="1418" w:type="dxa"/>
            <w:tcBorders>
              <w:top w:val="nil"/>
              <w:left w:val="nil"/>
              <w:bottom w:val="single" w:sz="4" w:space="0" w:color="auto"/>
              <w:right w:val="single" w:sz="4" w:space="0" w:color="auto"/>
            </w:tcBorders>
            <w:noWrap/>
            <w:vAlign w:val="bottom"/>
            <w:hideMark/>
          </w:tcPr>
          <w:p w14:paraId="57CA5BD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863.327,25</w:t>
            </w:r>
          </w:p>
        </w:tc>
        <w:tc>
          <w:tcPr>
            <w:tcW w:w="1984" w:type="dxa"/>
            <w:tcBorders>
              <w:top w:val="nil"/>
              <w:left w:val="nil"/>
              <w:bottom w:val="single" w:sz="4" w:space="0" w:color="auto"/>
              <w:right w:val="single" w:sz="4" w:space="0" w:color="auto"/>
            </w:tcBorders>
            <w:noWrap/>
            <w:vAlign w:val="bottom"/>
            <w:hideMark/>
          </w:tcPr>
          <w:p w14:paraId="0933544E"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24.04.2020 – 7.534,65</w:t>
            </w:r>
          </w:p>
        </w:tc>
        <w:tc>
          <w:tcPr>
            <w:tcW w:w="1701" w:type="dxa"/>
            <w:gridSpan w:val="2"/>
            <w:tcBorders>
              <w:top w:val="nil"/>
              <w:left w:val="nil"/>
              <w:bottom w:val="single" w:sz="4" w:space="0" w:color="auto"/>
              <w:right w:val="single" w:sz="4" w:space="0" w:color="auto"/>
            </w:tcBorders>
            <w:noWrap/>
            <w:vAlign w:val="bottom"/>
            <w:hideMark/>
          </w:tcPr>
          <w:p w14:paraId="1135E318"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31.03.2020 – 42.991,75</w:t>
            </w:r>
          </w:p>
          <w:p w14:paraId="5B55D061"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30.06.2020 – 174,75</w:t>
            </w:r>
          </w:p>
        </w:tc>
      </w:tr>
      <w:tr w:rsidR="007C5589" w:rsidRPr="009E4A49" w14:paraId="5F57B029"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9FD85E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30.6.2020</w:t>
            </w:r>
          </w:p>
        </w:tc>
        <w:tc>
          <w:tcPr>
            <w:tcW w:w="1276" w:type="dxa"/>
            <w:tcBorders>
              <w:top w:val="nil"/>
              <w:left w:val="nil"/>
              <w:bottom w:val="single" w:sz="4" w:space="0" w:color="auto"/>
              <w:right w:val="single" w:sz="4" w:space="0" w:color="auto"/>
            </w:tcBorders>
            <w:noWrap/>
            <w:vAlign w:val="bottom"/>
            <w:hideMark/>
          </w:tcPr>
          <w:p w14:paraId="1E063F4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50.357,23</w:t>
            </w:r>
          </w:p>
        </w:tc>
        <w:tc>
          <w:tcPr>
            <w:tcW w:w="1217" w:type="dxa"/>
            <w:tcBorders>
              <w:top w:val="nil"/>
              <w:left w:val="nil"/>
              <w:bottom w:val="single" w:sz="4" w:space="0" w:color="auto"/>
              <w:right w:val="single" w:sz="4" w:space="0" w:color="auto"/>
            </w:tcBorders>
            <w:noWrap/>
            <w:vAlign w:val="bottom"/>
            <w:hideMark/>
          </w:tcPr>
          <w:p w14:paraId="70B5D97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B6461D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7.190,86</w:t>
            </w:r>
          </w:p>
        </w:tc>
        <w:tc>
          <w:tcPr>
            <w:tcW w:w="1418" w:type="dxa"/>
            <w:tcBorders>
              <w:top w:val="nil"/>
              <w:left w:val="nil"/>
              <w:bottom w:val="single" w:sz="4" w:space="0" w:color="auto"/>
              <w:right w:val="single" w:sz="4" w:space="0" w:color="auto"/>
            </w:tcBorders>
            <w:noWrap/>
            <w:vAlign w:val="bottom"/>
            <w:hideMark/>
          </w:tcPr>
          <w:p w14:paraId="2509D37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820.160,88</w:t>
            </w:r>
          </w:p>
        </w:tc>
        <w:tc>
          <w:tcPr>
            <w:tcW w:w="1984" w:type="dxa"/>
            <w:tcBorders>
              <w:top w:val="nil"/>
              <w:left w:val="nil"/>
              <w:bottom w:val="single" w:sz="4" w:space="0" w:color="auto"/>
              <w:right w:val="single" w:sz="4" w:space="0" w:color="auto"/>
            </w:tcBorders>
            <w:noWrap/>
            <w:vAlign w:val="bottom"/>
            <w:hideMark/>
          </w:tcPr>
          <w:p w14:paraId="050240B8"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xml:space="preserve"> 01.08.2020 – 7.190,86</w:t>
            </w:r>
          </w:p>
        </w:tc>
        <w:tc>
          <w:tcPr>
            <w:tcW w:w="1701" w:type="dxa"/>
            <w:gridSpan w:val="2"/>
            <w:tcBorders>
              <w:top w:val="nil"/>
              <w:left w:val="nil"/>
              <w:bottom w:val="single" w:sz="4" w:space="0" w:color="auto"/>
              <w:right w:val="single" w:sz="4" w:space="0" w:color="auto"/>
            </w:tcBorders>
            <w:noWrap/>
            <w:vAlign w:val="bottom"/>
            <w:hideMark/>
          </w:tcPr>
          <w:p w14:paraId="42798712"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30.06.2020 – 42.991,75</w:t>
            </w:r>
          </w:p>
          <w:p w14:paraId="4B3F882B"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30.09.2020 – 174,75</w:t>
            </w:r>
          </w:p>
        </w:tc>
      </w:tr>
      <w:tr w:rsidR="007C5589" w:rsidRPr="009E4A49" w14:paraId="3949E073"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20E0D3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30.9.2020</w:t>
            </w:r>
          </w:p>
        </w:tc>
        <w:tc>
          <w:tcPr>
            <w:tcW w:w="1276" w:type="dxa"/>
            <w:tcBorders>
              <w:top w:val="nil"/>
              <w:left w:val="nil"/>
              <w:bottom w:val="single" w:sz="4" w:space="0" w:color="auto"/>
              <w:right w:val="single" w:sz="4" w:space="0" w:color="auto"/>
            </w:tcBorders>
            <w:noWrap/>
            <w:vAlign w:val="bottom"/>
            <w:hideMark/>
          </w:tcPr>
          <w:p w14:paraId="301E5F5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50.072,75</w:t>
            </w:r>
          </w:p>
        </w:tc>
        <w:tc>
          <w:tcPr>
            <w:tcW w:w="1217" w:type="dxa"/>
            <w:tcBorders>
              <w:top w:val="nil"/>
              <w:left w:val="nil"/>
              <w:bottom w:val="single" w:sz="4" w:space="0" w:color="auto"/>
              <w:right w:val="single" w:sz="4" w:space="0" w:color="auto"/>
            </w:tcBorders>
            <w:noWrap/>
            <w:vAlign w:val="bottom"/>
            <w:hideMark/>
          </w:tcPr>
          <w:p w14:paraId="183C23F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63D47C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6.906,38</w:t>
            </w:r>
          </w:p>
        </w:tc>
        <w:tc>
          <w:tcPr>
            <w:tcW w:w="1418" w:type="dxa"/>
            <w:tcBorders>
              <w:top w:val="nil"/>
              <w:left w:val="nil"/>
              <w:bottom w:val="single" w:sz="4" w:space="0" w:color="auto"/>
              <w:right w:val="single" w:sz="4" w:space="0" w:color="auto"/>
            </w:tcBorders>
            <w:noWrap/>
            <w:vAlign w:val="bottom"/>
            <w:hideMark/>
          </w:tcPr>
          <w:p w14:paraId="07F8415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776.994,51</w:t>
            </w:r>
          </w:p>
        </w:tc>
        <w:tc>
          <w:tcPr>
            <w:tcW w:w="1984" w:type="dxa"/>
            <w:tcBorders>
              <w:top w:val="nil"/>
              <w:left w:val="nil"/>
              <w:bottom w:val="single" w:sz="4" w:space="0" w:color="auto"/>
              <w:right w:val="single" w:sz="4" w:space="0" w:color="auto"/>
            </w:tcBorders>
            <w:noWrap/>
            <w:vAlign w:val="bottom"/>
            <w:hideMark/>
          </w:tcPr>
          <w:p w14:paraId="59F067F9"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 06.10.2020 – 6.906,38</w:t>
            </w:r>
          </w:p>
        </w:tc>
        <w:tc>
          <w:tcPr>
            <w:tcW w:w="1701" w:type="dxa"/>
            <w:gridSpan w:val="2"/>
            <w:tcBorders>
              <w:top w:val="nil"/>
              <w:left w:val="nil"/>
              <w:bottom w:val="single" w:sz="4" w:space="0" w:color="auto"/>
              <w:right w:val="single" w:sz="4" w:space="0" w:color="auto"/>
            </w:tcBorders>
            <w:noWrap/>
            <w:vAlign w:val="bottom"/>
            <w:hideMark/>
          </w:tcPr>
          <w:p w14:paraId="76D1977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30.09.2020 – 42.991,75</w:t>
            </w:r>
          </w:p>
          <w:p w14:paraId="61ACB287" w14:textId="77777777" w:rsidR="007C5589" w:rsidRPr="009E4A49" w:rsidRDefault="007C5589" w:rsidP="001870D6">
            <w:pPr>
              <w:spacing w:after="0" w:line="240" w:lineRule="auto"/>
              <w:rPr>
                <w:rFonts w:ascii="Times New Roman" w:hAnsi="Times New Roman"/>
                <w:color w:val="000000"/>
                <w:sz w:val="16"/>
                <w:szCs w:val="16"/>
              </w:rPr>
            </w:pPr>
            <w:r w:rsidRPr="009E4A49">
              <w:rPr>
                <w:rFonts w:ascii="Times New Roman" w:hAnsi="Times New Roman"/>
                <w:color w:val="000000"/>
                <w:sz w:val="16"/>
                <w:szCs w:val="16"/>
              </w:rPr>
              <w:t>31.12.2020 – 174,62</w:t>
            </w:r>
          </w:p>
        </w:tc>
      </w:tr>
      <w:tr w:rsidR="007C5589" w:rsidRPr="009E4A49" w14:paraId="0B9EA5FD"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62347BD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31.12.2020</w:t>
            </w:r>
          </w:p>
        </w:tc>
        <w:tc>
          <w:tcPr>
            <w:tcW w:w="1276" w:type="dxa"/>
            <w:tcBorders>
              <w:top w:val="nil"/>
              <w:left w:val="nil"/>
              <w:bottom w:val="single" w:sz="4" w:space="0" w:color="auto"/>
              <w:right w:val="single" w:sz="4" w:space="0" w:color="auto"/>
            </w:tcBorders>
            <w:noWrap/>
            <w:vAlign w:val="bottom"/>
            <w:hideMark/>
          </w:tcPr>
          <w:p w14:paraId="127F955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49.709,26</w:t>
            </w:r>
          </w:p>
        </w:tc>
        <w:tc>
          <w:tcPr>
            <w:tcW w:w="1217" w:type="dxa"/>
            <w:tcBorders>
              <w:top w:val="nil"/>
              <w:left w:val="nil"/>
              <w:bottom w:val="single" w:sz="4" w:space="0" w:color="auto"/>
              <w:right w:val="single" w:sz="4" w:space="0" w:color="auto"/>
            </w:tcBorders>
            <w:noWrap/>
            <w:vAlign w:val="bottom"/>
            <w:hideMark/>
          </w:tcPr>
          <w:p w14:paraId="4390E0D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80EF88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6.542,89</w:t>
            </w:r>
          </w:p>
        </w:tc>
        <w:tc>
          <w:tcPr>
            <w:tcW w:w="1418" w:type="dxa"/>
            <w:tcBorders>
              <w:top w:val="nil"/>
              <w:left w:val="nil"/>
              <w:bottom w:val="single" w:sz="4" w:space="0" w:color="auto"/>
              <w:right w:val="single" w:sz="4" w:space="0" w:color="auto"/>
            </w:tcBorders>
            <w:noWrap/>
            <w:vAlign w:val="bottom"/>
            <w:hideMark/>
          </w:tcPr>
          <w:p w14:paraId="6160BA5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733.828,14</w:t>
            </w:r>
          </w:p>
        </w:tc>
        <w:tc>
          <w:tcPr>
            <w:tcW w:w="1984" w:type="dxa"/>
            <w:tcBorders>
              <w:top w:val="nil"/>
              <w:left w:val="nil"/>
              <w:bottom w:val="single" w:sz="4" w:space="0" w:color="auto"/>
              <w:right w:val="single" w:sz="4" w:space="0" w:color="auto"/>
            </w:tcBorders>
            <w:noWrap/>
            <w:vAlign w:val="bottom"/>
            <w:hideMark/>
          </w:tcPr>
          <w:p w14:paraId="56D8918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31.12.2020.</w:t>
            </w:r>
          </w:p>
        </w:tc>
        <w:tc>
          <w:tcPr>
            <w:tcW w:w="1701" w:type="dxa"/>
            <w:gridSpan w:val="2"/>
            <w:tcBorders>
              <w:top w:val="nil"/>
              <w:left w:val="nil"/>
              <w:bottom w:val="single" w:sz="4" w:space="0" w:color="auto"/>
              <w:right w:val="single" w:sz="4" w:space="0" w:color="auto"/>
            </w:tcBorders>
            <w:noWrap/>
            <w:vAlign w:val="bottom"/>
            <w:hideMark/>
          </w:tcPr>
          <w:p w14:paraId="4D53317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31.12.2020.</w:t>
            </w:r>
          </w:p>
        </w:tc>
      </w:tr>
      <w:tr w:rsidR="007C5589" w:rsidRPr="009E4A49" w14:paraId="5324581D"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60528E0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31.3.2021</w:t>
            </w:r>
          </w:p>
        </w:tc>
        <w:tc>
          <w:tcPr>
            <w:tcW w:w="1276" w:type="dxa"/>
            <w:tcBorders>
              <w:top w:val="nil"/>
              <w:left w:val="nil"/>
              <w:bottom w:val="single" w:sz="4" w:space="0" w:color="auto"/>
              <w:right w:val="single" w:sz="4" w:space="0" w:color="auto"/>
            </w:tcBorders>
            <w:noWrap/>
            <w:vAlign w:val="bottom"/>
            <w:hideMark/>
          </w:tcPr>
          <w:p w14:paraId="5A1EDE4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49.227,81</w:t>
            </w:r>
          </w:p>
        </w:tc>
        <w:tc>
          <w:tcPr>
            <w:tcW w:w="1217" w:type="dxa"/>
            <w:tcBorders>
              <w:top w:val="nil"/>
              <w:left w:val="nil"/>
              <w:bottom w:val="single" w:sz="4" w:space="0" w:color="auto"/>
              <w:right w:val="single" w:sz="4" w:space="0" w:color="auto"/>
            </w:tcBorders>
            <w:noWrap/>
            <w:vAlign w:val="bottom"/>
            <w:hideMark/>
          </w:tcPr>
          <w:p w14:paraId="6D425E2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622CA8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6.061,44</w:t>
            </w:r>
          </w:p>
        </w:tc>
        <w:tc>
          <w:tcPr>
            <w:tcW w:w="1418" w:type="dxa"/>
            <w:tcBorders>
              <w:top w:val="nil"/>
              <w:left w:val="nil"/>
              <w:bottom w:val="single" w:sz="4" w:space="0" w:color="auto"/>
              <w:right w:val="single" w:sz="4" w:space="0" w:color="auto"/>
            </w:tcBorders>
            <w:noWrap/>
            <w:vAlign w:val="bottom"/>
            <w:hideMark/>
          </w:tcPr>
          <w:p w14:paraId="1FC02DC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690.661,77</w:t>
            </w:r>
          </w:p>
        </w:tc>
        <w:tc>
          <w:tcPr>
            <w:tcW w:w="1984" w:type="dxa"/>
            <w:tcBorders>
              <w:top w:val="nil"/>
              <w:left w:val="nil"/>
              <w:bottom w:val="single" w:sz="4" w:space="0" w:color="auto"/>
              <w:right w:val="single" w:sz="4" w:space="0" w:color="auto"/>
            </w:tcBorders>
            <w:noWrap/>
            <w:vAlign w:val="bottom"/>
            <w:hideMark/>
          </w:tcPr>
          <w:p w14:paraId="2AA80BF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31.03.2021.</w:t>
            </w:r>
          </w:p>
        </w:tc>
        <w:tc>
          <w:tcPr>
            <w:tcW w:w="1701" w:type="dxa"/>
            <w:gridSpan w:val="2"/>
            <w:tcBorders>
              <w:top w:val="nil"/>
              <w:left w:val="nil"/>
              <w:bottom w:val="single" w:sz="4" w:space="0" w:color="auto"/>
              <w:right w:val="single" w:sz="4" w:space="0" w:color="auto"/>
            </w:tcBorders>
            <w:noWrap/>
            <w:vAlign w:val="bottom"/>
            <w:hideMark/>
          </w:tcPr>
          <w:p w14:paraId="0BE1090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xml:space="preserve">31.03.2021. </w:t>
            </w:r>
          </w:p>
        </w:tc>
      </w:tr>
      <w:tr w:rsidR="007C5589" w:rsidRPr="009E4A49" w14:paraId="001AA25D"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3455331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30.6.2021</w:t>
            </w:r>
          </w:p>
        </w:tc>
        <w:tc>
          <w:tcPr>
            <w:tcW w:w="1276" w:type="dxa"/>
            <w:tcBorders>
              <w:top w:val="nil"/>
              <w:left w:val="nil"/>
              <w:bottom w:val="single" w:sz="4" w:space="0" w:color="auto"/>
              <w:right w:val="single" w:sz="4" w:space="0" w:color="auto"/>
            </w:tcBorders>
            <w:noWrap/>
            <w:vAlign w:val="bottom"/>
            <w:hideMark/>
          </w:tcPr>
          <w:p w14:paraId="4394E78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48.934,81</w:t>
            </w:r>
          </w:p>
        </w:tc>
        <w:tc>
          <w:tcPr>
            <w:tcW w:w="1217" w:type="dxa"/>
            <w:tcBorders>
              <w:top w:val="nil"/>
              <w:left w:val="nil"/>
              <w:bottom w:val="single" w:sz="4" w:space="0" w:color="auto"/>
              <w:right w:val="single" w:sz="4" w:space="0" w:color="auto"/>
            </w:tcBorders>
            <w:noWrap/>
            <w:vAlign w:val="bottom"/>
            <w:hideMark/>
          </w:tcPr>
          <w:p w14:paraId="4283AD9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0A666F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5.768,44</w:t>
            </w:r>
          </w:p>
        </w:tc>
        <w:tc>
          <w:tcPr>
            <w:tcW w:w="1418" w:type="dxa"/>
            <w:tcBorders>
              <w:top w:val="nil"/>
              <w:left w:val="nil"/>
              <w:bottom w:val="single" w:sz="4" w:space="0" w:color="auto"/>
              <w:right w:val="single" w:sz="4" w:space="0" w:color="auto"/>
            </w:tcBorders>
            <w:noWrap/>
            <w:vAlign w:val="bottom"/>
            <w:hideMark/>
          </w:tcPr>
          <w:p w14:paraId="1ACA1DE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647.495,40</w:t>
            </w:r>
          </w:p>
        </w:tc>
        <w:tc>
          <w:tcPr>
            <w:tcW w:w="1984" w:type="dxa"/>
            <w:tcBorders>
              <w:top w:val="nil"/>
              <w:left w:val="nil"/>
              <w:bottom w:val="single" w:sz="4" w:space="0" w:color="auto"/>
              <w:right w:val="single" w:sz="4" w:space="0" w:color="auto"/>
            </w:tcBorders>
            <w:noWrap/>
            <w:vAlign w:val="bottom"/>
            <w:hideMark/>
          </w:tcPr>
          <w:p w14:paraId="56E9010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xml:space="preserve">30.06.2021. </w:t>
            </w:r>
          </w:p>
        </w:tc>
        <w:tc>
          <w:tcPr>
            <w:tcW w:w="1701" w:type="dxa"/>
            <w:gridSpan w:val="2"/>
            <w:tcBorders>
              <w:top w:val="nil"/>
              <w:left w:val="nil"/>
              <w:bottom w:val="single" w:sz="4" w:space="0" w:color="auto"/>
              <w:right w:val="single" w:sz="4" w:space="0" w:color="auto"/>
            </w:tcBorders>
            <w:noWrap/>
            <w:vAlign w:val="bottom"/>
            <w:hideMark/>
          </w:tcPr>
          <w:p w14:paraId="43D93D8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xml:space="preserve">30.06.2021. </w:t>
            </w:r>
          </w:p>
        </w:tc>
      </w:tr>
      <w:tr w:rsidR="007C5589" w:rsidRPr="009E4A49" w14:paraId="3E5FCFCE"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18D38B5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30.9.2021</w:t>
            </w:r>
          </w:p>
        </w:tc>
        <w:tc>
          <w:tcPr>
            <w:tcW w:w="1276" w:type="dxa"/>
            <w:tcBorders>
              <w:top w:val="nil"/>
              <w:left w:val="nil"/>
              <w:bottom w:val="single" w:sz="4" w:space="0" w:color="auto"/>
              <w:right w:val="single" w:sz="4" w:space="0" w:color="auto"/>
            </w:tcBorders>
            <w:noWrap/>
            <w:vAlign w:val="bottom"/>
            <w:hideMark/>
          </w:tcPr>
          <w:p w14:paraId="0695ACB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48.633,71</w:t>
            </w:r>
          </w:p>
        </w:tc>
        <w:tc>
          <w:tcPr>
            <w:tcW w:w="1217" w:type="dxa"/>
            <w:tcBorders>
              <w:top w:val="nil"/>
              <w:left w:val="nil"/>
              <w:bottom w:val="single" w:sz="4" w:space="0" w:color="auto"/>
              <w:right w:val="single" w:sz="4" w:space="0" w:color="auto"/>
            </w:tcBorders>
            <w:noWrap/>
            <w:vAlign w:val="bottom"/>
            <w:hideMark/>
          </w:tcPr>
          <w:p w14:paraId="370F2F4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C961B3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5.467,34</w:t>
            </w:r>
          </w:p>
        </w:tc>
        <w:tc>
          <w:tcPr>
            <w:tcW w:w="1418" w:type="dxa"/>
            <w:tcBorders>
              <w:top w:val="nil"/>
              <w:left w:val="nil"/>
              <w:bottom w:val="single" w:sz="4" w:space="0" w:color="auto"/>
              <w:right w:val="single" w:sz="4" w:space="0" w:color="auto"/>
            </w:tcBorders>
            <w:noWrap/>
            <w:vAlign w:val="bottom"/>
            <w:hideMark/>
          </w:tcPr>
          <w:p w14:paraId="059F815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604.329,03</w:t>
            </w:r>
          </w:p>
        </w:tc>
        <w:tc>
          <w:tcPr>
            <w:tcW w:w="1984" w:type="dxa"/>
            <w:tcBorders>
              <w:top w:val="nil"/>
              <w:left w:val="nil"/>
              <w:bottom w:val="single" w:sz="4" w:space="0" w:color="auto"/>
              <w:right w:val="single" w:sz="4" w:space="0" w:color="auto"/>
            </w:tcBorders>
            <w:noWrap/>
            <w:vAlign w:val="bottom"/>
            <w:hideMark/>
          </w:tcPr>
          <w:p w14:paraId="53310D4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30.9.2021</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1BD7BC4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30.9.2021</w:t>
            </w:r>
            <w:r>
              <w:rPr>
                <w:rFonts w:ascii="Times New Roman" w:hAnsi="Times New Roman"/>
                <w:color w:val="000000"/>
                <w:sz w:val="16"/>
                <w:szCs w:val="16"/>
              </w:rPr>
              <w:t>.</w:t>
            </w:r>
          </w:p>
        </w:tc>
      </w:tr>
      <w:tr w:rsidR="007C5589" w:rsidRPr="009E4A49" w14:paraId="4BB50C13"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CB3F90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31.12.2021</w:t>
            </w:r>
          </w:p>
        </w:tc>
        <w:tc>
          <w:tcPr>
            <w:tcW w:w="1276" w:type="dxa"/>
            <w:tcBorders>
              <w:top w:val="nil"/>
              <w:left w:val="nil"/>
              <w:bottom w:val="single" w:sz="4" w:space="0" w:color="auto"/>
              <w:right w:val="single" w:sz="4" w:space="0" w:color="auto"/>
            </w:tcBorders>
            <w:noWrap/>
            <w:vAlign w:val="bottom"/>
            <w:hideMark/>
          </w:tcPr>
          <w:p w14:paraId="1F64C68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48.269,22</w:t>
            </w:r>
          </w:p>
        </w:tc>
        <w:tc>
          <w:tcPr>
            <w:tcW w:w="1217" w:type="dxa"/>
            <w:tcBorders>
              <w:top w:val="nil"/>
              <w:left w:val="nil"/>
              <w:bottom w:val="single" w:sz="4" w:space="0" w:color="auto"/>
              <w:right w:val="single" w:sz="4" w:space="0" w:color="auto"/>
            </w:tcBorders>
            <w:noWrap/>
            <w:vAlign w:val="bottom"/>
            <w:hideMark/>
          </w:tcPr>
          <w:p w14:paraId="781FF13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7C76C21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5.102,85</w:t>
            </w:r>
          </w:p>
        </w:tc>
        <w:tc>
          <w:tcPr>
            <w:tcW w:w="1418" w:type="dxa"/>
            <w:tcBorders>
              <w:top w:val="nil"/>
              <w:left w:val="nil"/>
              <w:bottom w:val="single" w:sz="4" w:space="0" w:color="auto"/>
              <w:right w:val="single" w:sz="4" w:space="0" w:color="auto"/>
            </w:tcBorders>
            <w:noWrap/>
            <w:vAlign w:val="bottom"/>
            <w:hideMark/>
          </w:tcPr>
          <w:p w14:paraId="730011C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561.162,66</w:t>
            </w:r>
          </w:p>
        </w:tc>
        <w:tc>
          <w:tcPr>
            <w:tcW w:w="1984" w:type="dxa"/>
            <w:tcBorders>
              <w:top w:val="nil"/>
              <w:left w:val="nil"/>
              <w:bottom w:val="single" w:sz="4" w:space="0" w:color="auto"/>
              <w:right w:val="single" w:sz="4" w:space="0" w:color="auto"/>
            </w:tcBorders>
            <w:noWrap/>
            <w:vAlign w:val="bottom"/>
            <w:hideMark/>
          </w:tcPr>
          <w:p w14:paraId="64B6755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31.12.2021</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46BFEB5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31.12.2021</w:t>
            </w:r>
            <w:r>
              <w:rPr>
                <w:rFonts w:ascii="Times New Roman" w:hAnsi="Times New Roman"/>
                <w:color w:val="000000"/>
                <w:sz w:val="16"/>
                <w:szCs w:val="16"/>
              </w:rPr>
              <w:t>.</w:t>
            </w:r>
          </w:p>
        </w:tc>
      </w:tr>
      <w:tr w:rsidR="007C5589" w:rsidRPr="009E4A49" w14:paraId="293CB03A"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B9D251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31.3.2022</w:t>
            </w:r>
          </w:p>
        </w:tc>
        <w:tc>
          <w:tcPr>
            <w:tcW w:w="1276" w:type="dxa"/>
            <w:tcBorders>
              <w:top w:val="nil"/>
              <w:left w:val="nil"/>
              <w:bottom w:val="single" w:sz="4" w:space="0" w:color="auto"/>
              <w:right w:val="single" w:sz="4" w:space="0" w:color="auto"/>
            </w:tcBorders>
            <w:noWrap/>
            <w:vAlign w:val="bottom"/>
            <w:hideMark/>
          </w:tcPr>
          <w:p w14:paraId="56A3FA2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47.801,73</w:t>
            </w:r>
          </w:p>
        </w:tc>
        <w:tc>
          <w:tcPr>
            <w:tcW w:w="1217" w:type="dxa"/>
            <w:tcBorders>
              <w:top w:val="nil"/>
              <w:left w:val="nil"/>
              <w:bottom w:val="single" w:sz="4" w:space="0" w:color="auto"/>
              <w:right w:val="single" w:sz="4" w:space="0" w:color="auto"/>
            </w:tcBorders>
            <w:noWrap/>
            <w:vAlign w:val="bottom"/>
            <w:hideMark/>
          </w:tcPr>
          <w:p w14:paraId="6BC0A97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93251B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4.635,36</w:t>
            </w:r>
          </w:p>
        </w:tc>
        <w:tc>
          <w:tcPr>
            <w:tcW w:w="1418" w:type="dxa"/>
            <w:tcBorders>
              <w:top w:val="nil"/>
              <w:left w:val="nil"/>
              <w:bottom w:val="single" w:sz="4" w:space="0" w:color="auto"/>
              <w:right w:val="single" w:sz="4" w:space="0" w:color="auto"/>
            </w:tcBorders>
            <w:noWrap/>
            <w:vAlign w:val="bottom"/>
            <w:hideMark/>
          </w:tcPr>
          <w:p w14:paraId="7A767DE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517.996,29</w:t>
            </w:r>
          </w:p>
        </w:tc>
        <w:tc>
          <w:tcPr>
            <w:tcW w:w="1984" w:type="dxa"/>
            <w:tcBorders>
              <w:top w:val="nil"/>
              <w:left w:val="nil"/>
              <w:bottom w:val="single" w:sz="4" w:space="0" w:color="auto"/>
              <w:right w:val="single" w:sz="4" w:space="0" w:color="auto"/>
            </w:tcBorders>
            <w:noWrap/>
            <w:vAlign w:val="bottom"/>
            <w:hideMark/>
          </w:tcPr>
          <w:p w14:paraId="2EC9C4C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31.3.2022</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0D8E5AC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31.3.2022</w:t>
            </w:r>
            <w:r>
              <w:rPr>
                <w:rFonts w:ascii="Times New Roman" w:hAnsi="Times New Roman"/>
                <w:color w:val="000000"/>
                <w:sz w:val="16"/>
                <w:szCs w:val="16"/>
              </w:rPr>
              <w:t>.</w:t>
            </w:r>
          </w:p>
        </w:tc>
      </w:tr>
      <w:tr w:rsidR="007C5589" w:rsidRPr="009E4A49" w14:paraId="1AA2370D"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18415C3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30.6.2022</w:t>
            </w:r>
          </w:p>
        </w:tc>
        <w:tc>
          <w:tcPr>
            <w:tcW w:w="1276" w:type="dxa"/>
            <w:tcBorders>
              <w:top w:val="nil"/>
              <w:left w:val="nil"/>
              <w:bottom w:val="single" w:sz="4" w:space="0" w:color="auto"/>
              <w:right w:val="single" w:sz="4" w:space="0" w:color="auto"/>
            </w:tcBorders>
            <w:noWrap/>
            <w:vAlign w:val="bottom"/>
            <w:hideMark/>
          </w:tcPr>
          <w:p w14:paraId="1E7A835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47.492,70</w:t>
            </w:r>
          </w:p>
        </w:tc>
        <w:tc>
          <w:tcPr>
            <w:tcW w:w="1217" w:type="dxa"/>
            <w:tcBorders>
              <w:top w:val="nil"/>
              <w:left w:val="nil"/>
              <w:bottom w:val="single" w:sz="4" w:space="0" w:color="auto"/>
              <w:right w:val="single" w:sz="4" w:space="0" w:color="auto"/>
            </w:tcBorders>
            <w:noWrap/>
            <w:vAlign w:val="bottom"/>
            <w:hideMark/>
          </w:tcPr>
          <w:p w14:paraId="5D0D7BA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694D370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4.326,33</w:t>
            </w:r>
          </w:p>
        </w:tc>
        <w:tc>
          <w:tcPr>
            <w:tcW w:w="1418" w:type="dxa"/>
            <w:tcBorders>
              <w:top w:val="nil"/>
              <w:left w:val="nil"/>
              <w:bottom w:val="single" w:sz="4" w:space="0" w:color="auto"/>
              <w:right w:val="single" w:sz="4" w:space="0" w:color="auto"/>
            </w:tcBorders>
            <w:noWrap/>
            <w:vAlign w:val="bottom"/>
            <w:hideMark/>
          </w:tcPr>
          <w:p w14:paraId="524478A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474.829,92</w:t>
            </w:r>
          </w:p>
        </w:tc>
        <w:tc>
          <w:tcPr>
            <w:tcW w:w="1984" w:type="dxa"/>
            <w:tcBorders>
              <w:top w:val="nil"/>
              <w:left w:val="nil"/>
              <w:bottom w:val="single" w:sz="4" w:space="0" w:color="auto"/>
              <w:right w:val="single" w:sz="4" w:space="0" w:color="auto"/>
            </w:tcBorders>
            <w:noWrap/>
            <w:vAlign w:val="bottom"/>
            <w:hideMark/>
          </w:tcPr>
          <w:p w14:paraId="27D4B31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30.6.2022</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25E699AD"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30.6.2022</w:t>
            </w:r>
            <w:r>
              <w:rPr>
                <w:rFonts w:ascii="Times New Roman" w:hAnsi="Times New Roman"/>
                <w:color w:val="000000"/>
                <w:sz w:val="16"/>
                <w:szCs w:val="16"/>
              </w:rPr>
              <w:t>.</w:t>
            </w:r>
          </w:p>
        </w:tc>
      </w:tr>
      <w:tr w:rsidR="007C5589" w:rsidRPr="009E4A49" w14:paraId="523FFB0C"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5C269FD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30.9.2022</w:t>
            </w:r>
          </w:p>
        </w:tc>
        <w:tc>
          <w:tcPr>
            <w:tcW w:w="1276" w:type="dxa"/>
            <w:tcBorders>
              <w:top w:val="nil"/>
              <w:left w:val="nil"/>
              <w:bottom w:val="single" w:sz="4" w:space="0" w:color="auto"/>
              <w:right w:val="single" w:sz="4" w:space="0" w:color="auto"/>
            </w:tcBorders>
            <w:noWrap/>
            <w:vAlign w:val="bottom"/>
            <w:hideMark/>
          </w:tcPr>
          <w:p w14:paraId="50CF358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47.175,76</w:t>
            </w:r>
          </w:p>
        </w:tc>
        <w:tc>
          <w:tcPr>
            <w:tcW w:w="1217" w:type="dxa"/>
            <w:tcBorders>
              <w:top w:val="nil"/>
              <w:left w:val="nil"/>
              <w:bottom w:val="single" w:sz="4" w:space="0" w:color="auto"/>
              <w:right w:val="single" w:sz="4" w:space="0" w:color="auto"/>
            </w:tcBorders>
            <w:noWrap/>
            <w:vAlign w:val="bottom"/>
            <w:hideMark/>
          </w:tcPr>
          <w:p w14:paraId="384552E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568995F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4.009,39</w:t>
            </w:r>
          </w:p>
        </w:tc>
        <w:tc>
          <w:tcPr>
            <w:tcW w:w="1418" w:type="dxa"/>
            <w:tcBorders>
              <w:top w:val="nil"/>
              <w:left w:val="nil"/>
              <w:bottom w:val="single" w:sz="4" w:space="0" w:color="auto"/>
              <w:right w:val="single" w:sz="4" w:space="0" w:color="auto"/>
            </w:tcBorders>
            <w:noWrap/>
            <w:vAlign w:val="bottom"/>
            <w:hideMark/>
          </w:tcPr>
          <w:p w14:paraId="774A49B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431.663,55</w:t>
            </w:r>
          </w:p>
        </w:tc>
        <w:tc>
          <w:tcPr>
            <w:tcW w:w="1984" w:type="dxa"/>
            <w:tcBorders>
              <w:top w:val="nil"/>
              <w:left w:val="nil"/>
              <w:bottom w:val="single" w:sz="4" w:space="0" w:color="auto"/>
              <w:right w:val="single" w:sz="4" w:space="0" w:color="auto"/>
            </w:tcBorders>
            <w:noWrap/>
            <w:vAlign w:val="bottom"/>
            <w:hideMark/>
          </w:tcPr>
          <w:p w14:paraId="77F9F0E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30.09.2022</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4A9BB37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30.09.2022</w:t>
            </w:r>
            <w:r>
              <w:rPr>
                <w:rFonts w:ascii="Times New Roman" w:hAnsi="Times New Roman"/>
                <w:color w:val="000000"/>
                <w:sz w:val="16"/>
                <w:szCs w:val="16"/>
              </w:rPr>
              <w:t>.</w:t>
            </w:r>
          </w:p>
        </w:tc>
      </w:tr>
      <w:tr w:rsidR="007C5589" w:rsidRPr="009E4A49" w14:paraId="7B443144"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B8EE50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31.12.2022</w:t>
            </w:r>
          </w:p>
        </w:tc>
        <w:tc>
          <w:tcPr>
            <w:tcW w:w="1276" w:type="dxa"/>
            <w:tcBorders>
              <w:top w:val="nil"/>
              <w:left w:val="nil"/>
              <w:bottom w:val="single" w:sz="4" w:space="0" w:color="auto"/>
              <w:right w:val="single" w:sz="4" w:space="0" w:color="auto"/>
            </w:tcBorders>
            <w:noWrap/>
            <w:vAlign w:val="bottom"/>
            <w:hideMark/>
          </w:tcPr>
          <w:p w14:paraId="33F45BE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46.811,27</w:t>
            </w:r>
          </w:p>
        </w:tc>
        <w:tc>
          <w:tcPr>
            <w:tcW w:w="1217" w:type="dxa"/>
            <w:tcBorders>
              <w:top w:val="nil"/>
              <w:left w:val="nil"/>
              <w:bottom w:val="single" w:sz="4" w:space="0" w:color="auto"/>
              <w:right w:val="single" w:sz="4" w:space="0" w:color="auto"/>
            </w:tcBorders>
            <w:noWrap/>
            <w:vAlign w:val="bottom"/>
            <w:hideMark/>
          </w:tcPr>
          <w:p w14:paraId="4076DFE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B79384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3.644,90</w:t>
            </w:r>
          </w:p>
        </w:tc>
        <w:tc>
          <w:tcPr>
            <w:tcW w:w="1418" w:type="dxa"/>
            <w:tcBorders>
              <w:top w:val="nil"/>
              <w:left w:val="nil"/>
              <w:bottom w:val="single" w:sz="4" w:space="0" w:color="auto"/>
              <w:right w:val="single" w:sz="4" w:space="0" w:color="auto"/>
            </w:tcBorders>
            <w:noWrap/>
            <w:vAlign w:val="bottom"/>
            <w:hideMark/>
          </w:tcPr>
          <w:p w14:paraId="646FCF1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388.497,18</w:t>
            </w:r>
          </w:p>
        </w:tc>
        <w:tc>
          <w:tcPr>
            <w:tcW w:w="1984" w:type="dxa"/>
            <w:tcBorders>
              <w:top w:val="nil"/>
              <w:left w:val="nil"/>
              <w:bottom w:val="single" w:sz="4" w:space="0" w:color="auto"/>
              <w:right w:val="single" w:sz="4" w:space="0" w:color="auto"/>
            </w:tcBorders>
            <w:noWrap/>
            <w:vAlign w:val="bottom"/>
            <w:hideMark/>
          </w:tcPr>
          <w:p w14:paraId="30683EA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27.12.2022</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2A39823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 27.12.2022</w:t>
            </w:r>
            <w:r>
              <w:rPr>
                <w:rFonts w:ascii="Times New Roman" w:hAnsi="Times New Roman"/>
                <w:color w:val="000000"/>
                <w:sz w:val="16"/>
                <w:szCs w:val="16"/>
              </w:rPr>
              <w:t>.</w:t>
            </w:r>
          </w:p>
        </w:tc>
      </w:tr>
      <w:tr w:rsidR="007C5589" w:rsidRPr="009E4A49" w14:paraId="4230987E"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0223090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31.3.2023</w:t>
            </w:r>
          </w:p>
        </w:tc>
        <w:tc>
          <w:tcPr>
            <w:tcW w:w="1276" w:type="dxa"/>
            <w:tcBorders>
              <w:top w:val="nil"/>
              <w:left w:val="nil"/>
              <w:bottom w:val="single" w:sz="4" w:space="0" w:color="auto"/>
              <w:right w:val="single" w:sz="4" w:space="0" w:color="auto"/>
            </w:tcBorders>
            <w:noWrap/>
            <w:vAlign w:val="bottom"/>
            <w:hideMark/>
          </w:tcPr>
          <w:p w14:paraId="151CEBE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46.375,46</w:t>
            </w:r>
          </w:p>
        </w:tc>
        <w:tc>
          <w:tcPr>
            <w:tcW w:w="1217" w:type="dxa"/>
            <w:tcBorders>
              <w:top w:val="nil"/>
              <w:left w:val="nil"/>
              <w:bottom w:val="single" w:sz="4" w:space="0" w:color="auto"/>
              <w:right w:val="single" w:sz="4" w:space="0" w:color="auto"/>
            </w:tcBorders>
            <w:noWrap/>
            <w:vAlign w:val="bottom"/>
            <w:hideMark/>
          </w:tcPr>
          <w:p w14:paraId="119247B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33D6500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3.209,09</w:t>
            </w:r>
          </w:p>
        </w:tc>
        <w:tc>
          <w:tcPr>
            <w:tcW w:w="1418" w:type="dxa"/>
            <w:tcBorders>
              <w:top w:val="nil"/>
              <w:left w:val="nil"/>
              <w:bottom w:val="single" w:sz="4" w:space="0" w:color="auto"/>
              <w:right w:val="single" w:sz="4" w:space="0" w:color="auto"/>
            </w:tcBorders>
            <w:noWrap/>
            <w:vAlign w:val="bottom"/>
            <w:hideMark/>
          </w:tcPr>
          <w:p w14:paraId="3FC93C3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345.330,81</w:t>
            </w:r>
          </w:p>
        </w:tc>
        <w:tc>
          <w:tcPr>
            <w:tcW w:w="1984" w:type="dxa"/>
            <w:tcBorders>
              <w:top w:val="nil"/>
              <w:left w:val="nil"/>
              <w:bottom w:val="single" w:sz="4" w:space="0" w:color="auto"/>
              <w:right w:val="single" w:sz="4" w:space="0" w:color="auto"/>
            </w:tcBorders>
            <w:noWrap/>
            <w:vAlign w:val="bottom"/>
            <w:hideMark/>
          </w:tcPr>
          <w:p w14:paraId="2617E6BE"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31.3.2023</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7DFBDBE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31.3.2023</w:t>
            </w:r>
            <w:r>
              <w:rPr>
                <w:rFonts w:ascii="Times New Roman" w:hAnsi="Times New Roman"/>
                <w:color w:val="000000"/>
                <w:sz w:val="16"/>
                <w:szCs w:val="16"/>
              </w:rPr>
              <w:t>.</w:t>
            </w:r>
          </w:p>
        </w:tc>
      </w:tr>
      <w:tr w:rsidR="007C5589" w:rsidRPr="009E4A49" w14:paraId="0BD37895"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5D56F69C"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30.6.2023</w:t>
            </w:r>
          </w:p>
        </w:tc>
        <w:tc>
          <w:tcPr>
            <w:tcW w:w="1276" w:type="dxa"/>
            <w:tcBorders>
              <w:top w:val="nil"/>
              <w:left w:val="nil"/>
              <w:bottom w:val="single" w:sz="4" w:space="0" w:color="auto"/>
              <w:right w:val="single" w:sz="4" w:space="0" w:color="auto"/>
            </w:tcBorders>
            <w:noWrap/>
            <w:vAlign w:val="bottom"/>
            <w:hideMark/>
          </w:tcPr>
          <w:p w14:paraId="6C3F9A8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46.050,59</w:t>
            </w:r>
          </w:p>
        </w:tc>
        <w:tc>
          <w:tcPr>
            <w:tcW w:w="1217" w:type="dxa"/>
            <w:tcBorders>
              <w:top w:val="nil"/>
              <w:left w:val="nil"/>
              <w:bottom w:val="single" w:sz="4" w:space="0" w:color="auto"/>
              <w:right w:val="single" w:sz="4" w:space="0" w:color="auto"/>
            </w:tcBorders>
            <w:noWrap/>
            <w:vAlign w:val="bottom"/>
            <w:hideMark/>
          </w:tcPr>
          <w:p w14:paraId="5F1847C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41862DD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2.884,22</w:t>
            </w:r>
          </w:p>
        </w:tc>
        <w:tc>
          <w:tcPr>
            <w:tcW w:w="1418" w:type="dxa"/>
            <w:tcBorders>
              <w:top w:val="nil"/>
              <w:left w:val="nil"/>
              <w:bottom w:val="single" w:sz="4" w:space="0" w:color="auto"/>
              <w:right w:val="single" w:sz="4" w:space="0" w:color="auto"/>
            </w:tcBorders>
            <w:noWrap/>
            <w:vAlign w:val="bottom"/>
            <w:hideMark/>
          </w:tcPr>
          <w:p w14:paraId="5399E381"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302.164,44</w:t>
            </w:r>
          </w:p>
        </w:tc>
        <w:tc>
          <w:tcPr>
            <w:tcW w:w="1984" w:type="dxa"/>
            <w:tcBorders>
              <w:top w:val="nil"/>
              <w:left w:val="nil"/>
              <w:bottom w:val="single" w:sz="4" w:space="0" w:color="auto"/>
              <w:right w:val="single" w:sz="4" w:space="0" w:color="auto"/>
            </w:tcBorders>
            <w:noWrap/>
            <w:vAlign w:val="bottom"/>
            <w:hideMark/>
          </w:tcPr>
          <w:p w14:paraId="51B9A78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30.6.2023</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5A5BB8F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30.6.2023</w:t>
            </w:r>
            <w:r>
              <w:rPr>
                <w:rFonts w:ascii="Times New Roman" w:hAnsi="Times New Roman"/>
                <w:color w:val="000000"/>
                <w:sz w:val="16"/>
                <w:szCs w:val="16"/>
              </w:rPr>
              <w:t>.</w:t>
            </w:r>
          </w:p>
        </w:tc>
      </w:tr>
      <w:tr w:rsidR="007C5589" w:rsidRPr="009E4A49" w14:paraId="590EC603"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AC59CFB"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30.9.2023</w:t>
            </w:r>
          </w:p>
        </w:tc>
        <w:tc>
          <w:tcPr>
            <w:tcW w:w="1276" w:type="dxa"/>
            <w:tcBorders>
              <w:top w:val="nil"/>
              <w:left w:val="nil"/>
              <w:bottom w:val="single" w:sz="4" w:space="0" w:color="auto"/>
              <w:right w:val="single" w:sz="4" w:space="0" w:color="auto"/>
            </w:tcBorders>
            <w:noWrap/>
            <w:vAlign w:val="bottom"/>
            <w:hideMark/>
          </w:tcPr>
          <w:p w14:paraId="1A24338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45.717,80</w:t>
            </w:r>
          </w:p>
        </w:tc>
        <w:tc>
          <w:tcPr>
            <w:tcW w:w="1217" w:type="dxa"/>
            <w:tcBorders>
              <w:top w:val="nil"/>
              <w:left w:val="nil"/>
              <w:bottom w:val="single" w:sz="4" w:space="0" w:color="auto"/>
              <w:right w:val="single" w:sz="4" w:space="0" w:color="auto"/>
            </w:tcBorders>
            <w:noWrap/>
            <w:vAlign w:val="bottom"/>
            <w:hideMark/>
          </w:tcPr>
          <w:p w14:paraId="79D8D26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E0C7A89"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2.551,43</w:t>
            </w:r>
          </w:p>
        </w:tc>
        <w:tc>
          <w:tcPr>
            <w:tcW w:w="1418" w:type="dxa"/>
            <w:tcBorders>
              <w:top w:val="nil"/>
              <w:left w:val="nil"/>
              <w:bottom w:val="single" w:sz="4" w:space="0" w:color="auto"/>
              <w:right w:val="single" w:sz="4" w:space="0" w:color="auto"/>
            </w:tcBorders>
            <w:noWrap/>
            <w:vAlign w:val="bottom"/>
            <w:hideMark/>
          </w:tcPr>
          <w:p w14:paraId="0FC5876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258.998,07</w:t>
            </w:r>
          </w:p>
        </w:tc>
        <w:tc>
          <w:tcPr>
            <w:tcW w:w="1984" w:type="dxa"/>
            <w:tcBorders>
              <w:top w:val="nil"/>
              <w:left w:val="nil"/>
              <w:bottom w:val="single" w:sz="4" w:space="0" w:color="auto"/>
              <w:right w:val="single" w:sz="4" w:space="0" w:color="auto"/>
            </w:tcBorders>
            <w:noWrap/>
            <w:vAlign w:val="bottom"/>
            <w:hideMark/>
          </w:tcPr>
          <w:p w14:paraId="27E845A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30.9.2023</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14C4B2D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30.9.2023</w:t>
            </w:r>
            <w:r>
              <w:rPr>
                <w:rFonts w:ascii="Times New Roman" w:hAnsi="Times New Roman"/>
                <w:color w:val="000000"/>
                <w:sz w:val="16"/>
                <w:szCs w:val="16"/>
              </w:rPr>
              <w:t>.</w:t>
            </w:r>
          </w:p>
        </w:tc>
      </w:tr>
      <w:tr w:rsidR="007C5589" w:rsidRPr="009E4A49" w14:paraId="7F295EDB"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26CF595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31.12.2023</w:t>
            </w:r>
          </w:p>
        </w:tc>
        <w:tc>
          <w:tcPr>
            <w:tcW w:w="1276" w:type="dxa"/>
            <w:tcBorders>
              <w:top w:val="nil"/>
              <w:left w:val="nil"/>
              <w:bottom w:val="single" w:sz="4" w:space="0" w:color="auto"/>
              <w:right w:val="single" w:sz="4" w:space="0" w:color="auto"/>
            </w:tcBorders>
            <w:noWrap/>
            <w:vAlign w:val="bottom"/>
            <w:hideMark/>
          </w:tcPr>
          <w:p w14:paraId="7BA399A0"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45.353,31</w:t>
            </w:r>
          </w:p>
        </w:tc>
        <w:tc>
          <w:tcPr>
            <w:tcW w:w="1217" w:type="dxa"/>
            <w:tcBorders>
              <w:top w:val="nil"/>
              <w:left w:val="nil"/>
              <w:bottom w:val="single" w:sz="4" w:space="0" w:color="auto"/>
              <w:right w:val="single" w:sz="4" w:space="0" w:color="auto"/>
            </w:tcBorders>
            <w:noWrap/>
            <w:vAlign w:val="bottom"/>
            <w:hideMark/>
          </w:tcPr>
          <w:p w14:paraId="4E49775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737484A5"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2.186,94</w:t>
            </w:r>
          </w:p>
        </w:tc>
        <w:tc>
          <w:tcPr>
            <w:tcW w:w="1418" w:type="dxa"/>
            <w:tcBorders>
              <w:top w:val="nil"/>
              <w:left w:val="nil"/>
              <w:bottom w:val="single" w:sz="4" w:space="0" w:color="auto"/>
              <w:right w:val="single" w:sz="4" w:space="0" w:color="auto"/>
            </w:tcBorders>
            <w:noWrap/>
            <w:vAlign w:val="bottom"/>
            <w:hideMark/>
          </w:tcPr>
          <w:p w14:paraId="58119CAF"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215.831,70</w:t>
            </w:r>
          </w:p>
        </w:tc>
        <w:tc>
          <w:tcPr>
            <w:tcW w:w="1984" w:type="dxa"/>
            <w:tcBorders>
              <w:top w:val="nil"/>
              <w:left w:val="nil"/>
              <w:bottom w:val="single" w:sz="4" w:space="0" w:color="auto"/>
              <w:right w:val="single" w:sz="4" w:space="0" w:color="auto"/>
            </w:tcBorders>
            <w:noWrap/>
            <w:vAlign w:val="bottom"/>
            <w:hideMark/>
          </w:tcPr>
          <w:p w14:paraId="36B4D166"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31.12.2023</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51D1F824"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31.12.2023</w:t>
            </w:r>
            <w:r>
              <w:rPr>
                <w:rFonts w:ascii="Times New Roman" w:hAnsi="Times New Roman"/>
                <w:color w:val="000000"/>
                <w:sz w:val="16"/>
                <w:szCs w:val="16"/>
              </w:rPr>
              <w:t>.</w:t>
            </w:r>
          </w:p>
        </w:tc>
      </w:tr>
      <w:tr w:rsidR="006E252D" w:rsidRPr="009E4A49" w14:paraId="53F11FB1"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7128F955"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31.3.2024</w:t>
            </w:r>
          </w:p>
        </w:tc>
        <w:tc>
          <w:tcPr>
            <w:tcW w:w="1276" w:type="dxa"/>
            <w:tcBorders>
              <w:top w:val="nil"/>
              <w:left w:val="nil"/>
              <w:bottom w:val="single" w:sz="4" w:space="0" w:color="auto"/>
              <w:right w:val="single" w:sz="4" w:space="0" w:color="auto"/>
            </w:tcBorders>
            <w:noWrap/>
            <w:vAlign w:val="bottom"/>
            <w:hideMark/>
          </w:tcPr>
          <w:p w14:paraId="4BF222CC"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44.964,14</w:t>
            </w:r>
          </w:p>
        </w:tc>
        <w:tc>
          <w:tcPr>
            <w:tcW w:w="1217" w:type="dxa"/>
            <w:tcBorders>
              <w:top w:val="nil"/>
              <w:left w:val="nil"/>
              <w:bottom w:val="single" w:sz="4" w:space="0" w:color="auto"/>
              <w:right w:val="single" w:sz="4" w:space="0" w:color="auto"/>
            </w:tcBorders>
            <w:noWrap/>
            <w:vAlign w:val="bottom"/>
            <w:hideMark/>
          </w:tcPr>
          <w:p w14:paraId="232DBBC3"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2C88DE8A"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1.797,77</w:t>
            </w:r>
          </w:p>
        </w:tc>
        <w:tc>
          <w:tcPr>
            <w:tcW w:w="1418" w:type="dxa"/>
            <w:tcBorders>
              <w:top w:val="nil"/>
              <w:left w:val="nil"/>
              <w:bottom w:val="single" w:sz="4" w:space="0" w:color="auto"/>
              <w:right w:val="single" w:sz="4" w:space="0" w:color="auto"/>
            </w:tcBorders>
            <w:noWrap/>
            <w:vAlign w:val="bottom"/>
            <w:hideMark/>
          </w:tcPr>
          <w:p w14:paraId="19CE1E8A"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172.665,33</w:t>
            </w:r>
          </w:p>
        </w:tc>
        <w:tc>
          <w:tcPr>
            <w:tcW w:w="1984" w:type="dxa"/>
            <w:tcBorders>
              <w:top w:val="nil"/>
              <w:left w:val="nil"/>
              <w:bottom w:val="single" w:sz="4" w:space="0" w:color="auto"/>
              <w:right w:val="single" w:sz="4" w:space="0" w:color="auto"/>
            </w:tcBorders>
            <w:noWrap/>
            <w:vAlign w:val="bottom"/>
            <w:hideMark/>
          </w:tcPr>
          <w:p w14:paraId="137655C6" w14:textId="253BB919" w:rsidR="006E252D" w:rsidRPr="009E4A49" w:rsidRDefault="006E252D" w:rsidP="006E252D">
            <w:pPr>
              <w:spacing w:after="0" w:line="240" w:lineRule="auto"/>
              <w:jc w:val="right"/>
              <w:rPr>
                <w:rFonts w:ascii="Times New Roman" w:hAnsi="Times New Roman"/>
                <w:color w:val="000000"/>
                <w:sz w:val="16"/>
                <w:szCs w:val="16"/>
              </w:rPr>
            </w:pPr>
            <w:r>
              <w:rPr>
                <w:rFonts w:ascii="Times New Roman" w:hAnsi="Times New Roman"/>
                <w:color w:val="000000"/>
                <w:sz w:val="16"/>
                <w:szCs w:val="16"/>
              </w:rPr>
              <w:t>02.04.2024.</w:t>
            </w:r>
            <w:r w:rsidRPr="009E4A49">
              <w:rPr>
                <w:rFonts w:ascii="Times New Roman" w:hAnsi="Times New Roman"/>
                <w:color w:val="000000"/>
                <w:sz w:val="16"/>
                <w:szCs w:val="16"/>
              </w:rPr>
              <w:t> </w:t>
            </w:r>
          </w:p>
        </w:tc>
        <w:tc>
          <w:tcPr>
            <w:tcW w:w="1701" w:type="dxa"/>
            <w:gridSpan w:val="2"/>
            <w:tcBorders>
              <w:top w:val="nil"/>
              <w:left w:val="nil"/>
              <w:bottom w:val="single" w:sz="4" w:space="0" w:color="auto"/>
              <w:right w:val="single" w:sz="4" w:space="0" w:color="auto"/>
            </w:tcBorders>
            <w:noWrap/>
            <w:vAlign w:val="bottom"/>
            <w:hideMark/>
          </w:tcPr>
          <w:p w14:paraId="3DC544E7" w14:textId="569764C5" w:rsidR="006E252D" w:rsidRPr="009E4A49" w:rsidRDefault="006E252D" w:rsidP="006E252D">
            <w:pPr>
              <w:spacing w:after="0" w:line="240" w:lineRule="auto"/>
              <w:jc w:val="right"/>
              <w:rPr>
                <w:rFonts w:ascii="Times New Roman" w:hAnsi="Times New Roman"/>
                <w:color w:val="000000"/>
                <w:sz w:val="16"/>
                <w:szCs w:val="16"/>
              </w:rPr>
            </w:pPr>
            <w:r>
              <w:rPr>
                <w:rFonts w:ascii="Times New Roman" w:hAnsi="Times New Roman"/>
                <w:color w:val="000000"/>
                <w:sz w:val="16"/>
                <w:szCs w:val="16"/>
              </w:rPr>
              <w:t>02.04.2024.</w:t>
            </w:r>
            <w:r w:rsidRPr="009E4A49">
              <w:rPr>
                <w:rFonts w:ascii="Times New Roman" w:hAnsi="Times New Roman"/>
                <w:color w:val="000000"/>
                <w:sz w:val="16"/>
                <w:szCs w:val="16"/>
              </w:rPr>
              <w:t> </w:t>
            </w:r>
          </w:p>
        </w:tc>
      </w:tr>
      <w:tr w:rsidR="006E252D" w:rsidRPr="009E4A49" w14:paraId="1E411464"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6459B7F8"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30.6.2024</w:t>
            </w:r>
          </w:p>
        </w:tc>
        <w:tc>
          <w:tcPr>
            <w:tcW w:w="1276" w:type="dxa"/>
            <w:tcBorders>
              <w:top w:val="nil"/>
              <w:left w:val="nil"/>
              <w:bottom w:val="single" w:sz="4" w:space="0" w:color="auto"/>
              <w:right w:val="single" w:sz="4" w:space="0" w:color="auto"/>
            </w:tcBorders>
            <w:noWrap/>
            <w:vAlign w:val="bottom"/>
            <w:hideMark/>
          </w:tcPr>
          <w:p w14:paraId="60F389CC"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44.604,54</w:t>
            </w:r>
          </w:p>
        </w:tc>
        <w:tc>
          <w:tcPr>
            <w:tcW w:w="1217" w:type="dxa"/>
            <w:tcBorders>
              <w:top w:val="nil"/>
              <w:left w:val="nil"/>
              <w:bottom w:val="single" w:sz="4" w:space="0" w:color="auto"/>
              <w:right w:val="single" w:sz="4" w:space="0" w:color="auto"/>
            </w:tcBorders>
            <w:noWrap/>
            <w:vAlign w:val="bottom"/>
            <w:hideMark/>
          </w:tcPr>
          <w:p w14:paraId="79FA35BE"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0EECA3AD"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1.438,17</w:t>
            </w:r>
          </w:p>
        </w:tc>
        <w:tc>
          <w:tcPr>
            <w:tcW w:w="1418" w:type="dxa"/>
            <w:tcBorders>
              <w:top w:val="nil"/>
              <w:left w:val="nil"/>
              <w:bottom w:val="single" w:sz="4" w:space="0" w:color="auto"/>
              <w:right w:val="single" w:sz="4" w:space="0" w:color="auto"/>
            </w:tcBorders>
            <w:noWrap/>
            <w:vAlign w:val="bottom"/>
            <w:hideMark/>
          </w:tcPr>
          <w:p w14:paraId="274FDBD2" w14:textId="77777777" w:rsidR="006E252D" w:rsidRPr="009E4A49" w:rsidRDefault="006E252D" w:rsidP="006E252D">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129.498,96</w:t>
            </w:r>
          </w:p>
        </w:tc>
        <w:tc>
          <w:tcPr>
            <w:tcW w:w="1984" w:type="dxa"/>
            <w:tcBorders>
              <w:top w:val="nil"/>
              <w:left w:val="nil"/>
              <w:bottom w:val="single" w:sz="4" w:space="0" w:color="auto"/>
              <w:right w:val="single" w:sz="4" w:space="0" w:color="auto"/>
            </w:tcBorders>
            <w:noWrap/>
            <w:vAlign w:val="bottom"/>
            <w:hideMark/>
          </w:tcPr>
          <w:p w14:paraId="3DB0D511" w14:textId="5FDBB0CF" w:rsidR="006E252D" w:rsidRPr="009E4A49" w:rsidRDefault="006E252D" w:rsidP="006E252D">
            <w:pPr>
              <w:spacing w:after="0" w:line="240" w:lineRule="auto"/>
              <w:jc w:val="right"/>
              <w:rPr>
                <w:rFonts w:ascii="Times New Roman" w:hAnsi="Times New Roman"/>
                <w:color w:val="000000"/>
                <w:sz w:val="16"/>
                <w:szCs w:val="16"/>
              </w:rPr>
            </w:pPr>
            <w:r>
              <w:rPr>
                <w:rFonts w:ascii="Times New Roman" w:hAnsi="Times New Roman"/>
                <w:color w:val="000000"/>
                <w:sz w:val="16"/>
                <w:szCs w:val="16"/>
              </w:rPr>
              <w:t>01.07.2024.</w:t>
            </w:r>
            <w:r w:rsidRPr="009E4A49">
              <w:rPr>
                <w:rFonts w:ascii="Times New Roman" w:hAnsi="Times New Roman"/>
                <w:color w:val="000000"/>
                <w:sz w:val="16"/>
                <w:szCs w:val="16"/>
              </w:rPr>
              <w:t> </w:t>
            </w:r>
          </w:p>
        </w:tc>
        <w:tc>
          <w:tcPr>
            <w:tcW w:w="1701" w:type="dxa"/>
            <w:gridSpan w:val="2"/>
            <w:tcBorders>
              <w:top w:val="nil"/>
              <w:left w:val="nil"/>
              <w:bottom w:val="single" w:sz="4" w:space="0" w:color="auto"/>
              <w:right w:val="single" w:sz="4" w:space="0" w:color="auto"/>
            </w:tcBorders>
            <w:noWrap/>
            <w:vAlign w:val="bottom"/>
            <w:hideMark/>
          </w:tcPr>
          <w:p w14:paraId="43EAB57B" w14:textId="223823DA" w:rsidR="006E252D" w:rsidRPr="009E4A49" w:rsidRDefault="006E252D" w:rsidP="006E252D">
            <w:pPr>
              <w:spacing w:after="0" w:line="240" w:lineRule="auto"/>
              <w:jc w:val="right"/>
              <w:rPr>
                <w:rFonts w:ascii="Times New Roman" w:hAnsi="Times New Roman"/>
                <w:color w:val="000000"/>
                <w:sz w:val="16"/>
                <w:szCs w:val="16"/>
              </w:rPr>
            </w:pPr>
            <w:r>
              <w:rPr>
                <w:rFonts w:ascii="Times New Roman" w:hAnsi="Times New Roman"/>
                <w:color w:val="000000"/>
                <w:sz w:val="16"/>
                <w:szCs w:val="16"/>
              </w:rPr>
              <w:t>01.07.2024.</w:t>
            </w:r>
            <w:r w:rsidRPr="009E4A49">
              <w:rPr>
                <w:rFonts w:ascii="Times New Roman" w:hAnsi="Times New Roman"/>
                <w:color w:val="000000"/>
                <w:sz w:val="16"/>
                <w:szCs w:val="16"/>
              </w:rPr>
              <w:t> </w:t>
            </w:r>
          </w:p>
        </w:tc>
      </w:tr>
      <w:tr w:rsidR="00D76DE0" w:rsidRPr="009E4A49" w14:paraId="2B2EFA62"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1B7F899"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30.9.2024</w:t>
            </w:r>
          </w:p>
        </w:tc>
        <w:tc>
          <w:tcPr>
            <w:tcW w:w="1276" w:type="dxa"/>
            <w:tcBorders>
              <w:top w:val="nil"/>
              <w:left w:val="nil"/>
              <w:bottom w:val="single" w:sz="4" w:space="0" w:color="auto"/>
              <w:right w:val="single" w:sz="4" w:space="0" w:color="auto"/>
            </w:tcBorders>
            <w:noWrap/>
            <w:vAlign w:val="bottom"/>
            <w:hideMark/>
          </w:tcPr>
          <w:p w14:paraId="49C8EF3B"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44.256,85</w:t>
            </w:r>
          </w:p>
        </w:tc>
        <w:tc>
          <w:tcPr>
            <w:tcW w:w="1217" w:type="dxa"/>
            <w:tcBorders>
              <w:top w:val="nil"/>
              <w:left w:val="nil"/>
              <w:bottom w:val="single" w:sz="4" w:space="0" w:color="auto"/>
              <w:right w:val="single" w:sz="4" w:space="0" w:color="auto"/>
            </w:tcBorders>
            <w:noWrap/>
            <w:vAlign w:val="bottom"/>
            <w:hideMark/>
          </w:tcPr>
          <w:p w14:paraId="3C8E889E"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431BFB9A"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1.090,48</w:t>
            </w:r>
          </w:p>
        </w:tc>
        <w:tc>
          <w:tcPr>
            <w:tcW w:w="1418" w:type="dxa"/>
            <w:tcBorders>
              <w:top w:val="nil"/>
              <w:left w:val="nil"/>
              <w:bottom w:val="single" w:sz="4" w:space="0" w:color="auto"/>
              <w:right w:val="single" w:sz="4" w:space="0" w:color="auto"/>
            </w:tcBorders>
            <w:noWrap/>
            <w:vAlign w:val="bottom"/>
            <w:hideMark/>
          </w:tcPr>
          <w:p w14:paraId="2390137F"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86.332,59</w:t>
            </w:r>
          </w:p>
        </w:tc>
        <w:tc>
          <w:tcPr>
            <w:tcW w:w="1984" w:type="dxa"/>
            <w:tcBorders>
              <w:top w:val="nil"/>
              <w:left w:val="nil"/>
              <w:bottom w:val="single" w:sz="4" w:space="0" w:color="auto"/>
              <w:right w:val="single" w:sz="4" w:space="0" w:color="auto"/>
            </w:tcBorders>
            <w:noWrap/>
            <w:vAlign w:val="bottom"/>
            <w:hideMark/>
          </w:tcPr>
          <w:p w14:paraId="6948ACBA" w14:textId="5746CBC1"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30.9.2024</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24174140" w14:textId="7C76612E"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30.9.2024</w:t>
            </w:r>
            <w:r>
              <w:rPr>
                <w:rFonts w:ascii="Times New Roman" w:hAnsi="Times New Roman"/>
                <w:color w:val="000000"/>
                <w:sz w:val="16"/>
                <w:szCs w:val="16"/>
              </w:rPr>
              <w:t>.</w:t>
            </w:r>
          </w:p>
        </w:tc>
      </w:tr>
      <w:tr w:rsidR="00D76DE0" w:rsidRPr="009E4A49" w14:paraId="605E3DD2" w14:textId="77777777" w:rsidTr="009267B2">
        <w:trPr>
          <w:gridAfter w:val="1"/>
          <w:wAfter w:w="236" w:type="dxa"/>
          <w:trHeight w:val="300"/>
        </w:trPr>
        <w:tc>
          <w:tcPr>
            <w:tcW w:w="1134" w:type="dxa"/>
            <w:tcBorders>
              <w:top w:val="nil"/>
              <w:left w:val="single" w:sz="4" w:space="0" w:color="auto"/>
              <w:bottom w:val="single" w:sz="4" w:space="0" w:color="auto"/>
              <w:right w:val="single" w:sz="4" w:space="0" w:color="auto"/>
            </w:tcBorders>
            <w:noWrap/>
            <w:vAlign w:val="bottom"/>
            <w:hideMark/>
          </w:tcPr>
          <w:p w14:paraId="44485C0A"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31.12.2024</w:t>
            </w:r>
          </w:p>
        </w:tc>
        <w:tc>
          <w:tcPr>
            <w:tcW w:w="1276" w:type="dxa"/>
            <w:tcBorders>
              <w:top w:val="nil"/>
              <w:left w:val="nil"/>
              <w:bottom w:val="single" w:sz="4" w:space="0" w:color="auto"/>
              <w:right w:val="single" w:sz="4" w:space="0" w:color="auto"/>
            </w:tcBorders>
            <w:noWrap/>
            <w:vAlign w:val="bottom"/>
            <w:hideMark/>
          </w:tcPr>
          <w:p w14:paraId="26FFCEB1"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43.893,36</w:t>
            </w:r>
          </w:p>
        </w:tc>
        <w:tc>
          <w:tcPr>
            <w:tcW w:w="1217" w:type="dxa"/>
            <w:tcBorders>
              <w:top w:val="nil"/>
              <w:left w:val="nil"/>
              <w:bottom w:val="single" w:sz="4" w:space="0" w:color="auto"/>
              <w:right w:val="single" w:sz="4" w:space="0" w:color="auto"/>
            </w:tcBorders>
            <w:noWrap/>
            <w:vAlign w:val="bottom"/>
            <w:hideMark/>
          </w:tcPr>
          <w:p w14:paraId="3EA914B9"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43.166,37</w:t>
            </w:r>
          </w:p>
        </w:tc>
        <w:tc>
          <w:tcPr>
            <w:tcW w:w="1051" w:type="dxa"/>
            <w:tcBorders>
              <w:top w:val="nil"/>
              <w:left w:val="nil"/>
              <w:bottom w:val="single" w:sz="4" w:space="0" w:color="auto"/>
              <w:right w:val="single" w:sz="4" w:space="0" w:color="auto"/>
            </w:tcBorders>
            <w:noWrap/>
            <w:vAlign w:val="bottom"/>
            <w:hideMark/>
          </w:tcPr>
          <w:p w14:paraId="778CCE6D"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726,99</w:t>
            </w:r>
          </w:p>
        </w:tc>
        <w:tc>
          <w:tcPr>
            <w:tcW w:w="1418" w:type="dxa"/>
            <w:tcBorders>
              <w:top w:val="nil"/>
              <w:left w:val="nil"/>
              <w:bottom w:val="single" w:sz="4" w:space="0" w:color="auto"/>
              <w:right w:val="single" w:sz="4" w:space="0" w:color="auto"/>
            </w:tcBorders>
            <w:noWrap/>
            <w:vAlign w:val="bottom"/>
            <w:hideMark/>
          </w:tcPr>
          <w:p w14:paraId="6FD827E7" w14:textId="77777777"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43.166,22</w:t>
            </w:r>
          </w:p>
        </w:tc>
        <w:tc>
          <w:tcPr>
            <w:tcW w:w="1984" w:type="dxa"/>
            <w:tcBorders>
              <w:top w:val="nil"/>
              <w:left w:val="nil"/>
              <w:bottom w:val="single" w:sz="4" w:space="0" w:color="auto"/>
              <w:right w:val="single" w:sz="4" w:space="0" w:color="auto"/>
            </w:tcBorders>
            <w:noWrap/>
            <w:vAlign w:val="bottom"/>
            <w:hideMark/>
          </w:tcPr>
          <w:p w14:paraId="527FAFF2" w14:textId="52039A62"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31.12.2024</w:t>
            </w:r>
            <w:r>
              <w:rPr>
                <w:rFonts w:ascii="Times New Roman" w:hAnsi="Times New Roman"/>
                <w:color w:val="000000"/>
                <w:sz w:val="16"/>
                <w:szCs w:val="16"/>
              </w:rPr>
              <w:t>.</w:t>
            </w:r>
          </w:p>
        </w:tc>
        <w:tc>
          <w:tcPr>
            <w:tcW w:w="1701" w:type="dxa"/>
            <w:gridSpan w:val="2"/>
            <w:tcBorders>
              <w:top w:val="nil"/>
              <w:left w:val="nil"/>
              <w:bottom w:val="single" w:sz="4" w:space="0" w:color="auto"/>
              <w:right w:val="single" w:sz="4" w:space="0" w:color="auto"/>
            </w:tcBorders>
            <w:noWrap/>
            <w:vAlign w:val="bottom"/>
            <w:hideMark/>
          </w:tcPr>
          <w:p w14:paraId="078DA777" w14:textId="6F467153" w:rsidR="00D76DE0" w:rsidRPr="009E4A49" w:rsidRDefault="00D76DE0" w:rsidP="00D76DE0">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31.12.2024</w:t>
            </w:r>
            <w:r>
              <w:rPr>
                <w:rFonts w:ascii="Times New Roman" w:hAnsi="Times New Roman"/>
                <w:color w:val="000000"/>
                <w:sz w:val="16"/>
                <w:szCs w:val="16"/>
              </w:rPr>
              <w:t>.</w:t>
            </w:r>
          </w:p>
        </w:tc>
      </w:tr>
      <w:tr w:rsidR="007C5589" w:rsidRPr="009E4A49" w14:paraId="311A99DB" w14:textId="77777777" w:rsidTr="009267B2">
        <w:trPr>
          <w:gridAfter w:val="1"/>
          <w:wAfter w:w="236" w:type="dxa"/>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1A7686F8"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31.3.2025</w:t>
            </w:r>
          </w:p>
        </w:tc>
        <w:tc>
          <w:tcPr>
            <w:tcW w:w="1276" w:type="dxa"/>
            <w:tcBorders>
              <w:top w:val="single" w:sz="4" w:space="0" w:color="auto"/>
              <w:left w:val="nil"/>
              <w:bottom w:val="single" w:sz="4" w:space="0" w:color="auto"/>
              <w:right w:val="single" w:sz="4" w:space="0" w:color="auto"/>
            </w:tcBorders>
            <w:noWrap/>
            <w:vAlign w:val="bottom"/>
            <w:hideMark/>
          </w:tcPr>
          <w:p w14:paraId="50249E3A"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43.522,77</w:t>
            </w:r>
          </w:p>
        </w:tc>
        <w:tc>
          <w:tcPr>
            <w:tcW w:w="1217" w:type="dxa"/>
            <w:tcBorders>
              <w:top w:val="single" w:sz="4" w:space="0" w:color="auto"/>
              <w:left w:val="nil"/>
              <w:bottom w:val="single" w:sz="4" w:space="0" w:color="auto"/>
              <w:right w:val="single" w:sz="4" w:space="0" w:color="auto"/>
            </w:tcBorders>
            <w:noWrap/>
            <w:vAlign w:val="bottom"/>
            <w:hideMark/>
          </w:tcPr>
          <w:p w14:paraId="27D6F183"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43.166,22</w:t>
            </w:r>
          </w:p>
        </w:tc>
        <w:tc>
          <w:tcPr>
            <w:tcW w:w="1051" w:type="dxa"/>
            <w:tcBorders>
              <w:top w:val="single" w:sz="4" w:space="0" w:color="auto"/>
              <w:left w:val="nil"/>
              <w:bottom w:val="single" w:sz="4" w:space="0" w:color="auto"/>
              <w:right w:val="single" w:sz="4" w:space="0" w:color="auto"/>
            </w:tcBorders>
            <w:noWrap/>
            <w:vAlign w:val="bottom"/>
            <w:hideMark/>
          </w:tcPr>
          <w:p w14:paraId="7BFBEB47"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356,55</w:t>
            </w:r>
          </w:p>
        </w:tc>
        <w:tc>
          <w:tcPr>
            <w:tcW w:w="1418" w:type="dxa"/>
            <w:tcBorders>
              <w:top w:val="single" w:sz="4" w:space="0" w:color="auto"/>
              <w:left w:val="nil"/>
              <w:bottom w:val="single" w:sz="4" w:space="0" w:color="auto"/>
              <w:right w:val="single" w:sz="4" w:space="0" w:color="auto"/>
            </w:tcBorders>
            <w:noWrap/>
            <w:vAlign w:val="bottom"/>
            <w:hideMark/>
          </w:tcPr>
          <w:p w14:paraId="0A7E07F2" w14:textId="77777777" w:rsidR="007C5589" w:rsidRPr="009E4A49" w:rsidRDefault="007C5589" w:rsidP="001870D6">
            <w:pPr>
              <w:spacing w:after="0" w:line="240" w:lineRule="auto"/>
              <w:jc w:val="right"/>
              <w:rPr>
                <w:rFonts w:ascii="Times New Roman" w:hAnsi="Times New Roman"/>
                <w:color w:val="000000"/>
                <w:sz w:val="16"/>
                <w:szCs w:val="16"/>
              </w:rPr>
            </w:pPr>
            <w:r w:rsidRPr="009E4A49">
              <w:rPr>
                <w:rFonts w:ascii="Times New Roman" w:hAnsi="Times New Roman"/>
                <w:color w:val="000000"/>
                <w:sz w:val="16"/>
                <w:szCs w:val="16"/>
              </w:rPr>
              <w:t>0,00</w:t>
            </w:r>
          </w:p>
        </w:tc>
        <w:tc>
          <w:tcPr>
            <w:tcW w:w="1984" w:type="dxa"/>
            <w:tcBorders>
              <w:top w:val="single" w:sz="4" w:space="0" w:color="auto"/>
              <w:left w:val="nil"/>
              <w:bottom w:val="single" w:sz="4" w:space="0" w:color="auto"/>
              <w:right w:val="single" w:sz="4" w:space="0" w:color="auto"/>
            </w:tcBorders>
            <w:noWrap/>
            <w:vAlign w:val="bottom"/>
            <w:hideMark/>
          </w:tcPr>
          <w:p w14:paraId="200379DA" w14:textId="0681B74D" w:rsidR="007C5589" w:rsidRPr="009E4A49" w:rsidRDefault="009C73CC" w:rsidP="00F84EE5">
            <w:pPr>
              <w:spacing w:after="0" w:line="240" w:lineRule="auto"/>
              <w:jc w:val="right"/>
              <w:rPr>
                <w:rFonts w:ascii="Times New Roman" w:hAnsi="Times New Roman"/>
                <w:color w:val="000000"/>
                <w:sz w:val="16"/>
                <w:szCs w:val="16"/>
              </w:rPr>
            </w:pPr>
            <w:r>
              <w:rPr>
                <w:rFonts w:ascii="Times New Roman" w:hAnsi="Times New Roman"/>
                <w:color w:val="000000"/>
                <w:sz w:val="16"/>
                <w:szCs w:val="16"/>
              </w:rPr>
              <w:t>31.03.2025.</w:t>
            </w:r>
          </w:p>
        </w:tc>
        <w:tc>
          <w:tcPr>
            <w:tcW w:w="1701" w:type="dxa"/>
            <w:gridSpan w:val="2"/>
            <w:tcBorders>
              <w:top w:val="single" w:sz="4" w:space="0" w:color="auto"/>
              <w:left w:val="nil"/>
              <w:bottom w:val="single" w:sz="4" w:space="0" w:color="auto"/>
              <w:right w:val="single" w:sz="4" w:space="0" w:color="auto"/>
            </w:tcBorders>
            <w:noWrap/>
            <w:vAlign w:val="bottom"/>
            <w:hideMark/>
          </w:tcPr>
          <w:p w14:paraId="406656BE" w14:textId="292B7CA7" w:rsidR="007C5589" w:rsidRPr="009E4A49" w:rsidRDefault="009C73CC" w:rsidP="00F84EE5">
            <w:pPr>
              <w:spacing w:after="0" w:line="240" w:lineRule="auto"/>
              <w:jc w:val="right"/>
              <w:rPr>
                <w:rFonts w:ascii="Times New Roman" w:hAnsi="Times New Roman"/>
                <w:color w:val="000000"/>
                <w:sz w:val="16"/>
                <w:szCs w:val="16"/>
              </w:rPr>
            </w:pPr>
            <w:r>
              <w:rPr>
                <w:rFonts w:ascii="Times New Roman" w:hAnsi="Times New Roman"/>
                <w:color w:val="000000"/>
                <w:sz w:val="16"/>
                <w:szCs w:val="16"/>
              </w:rPr>
              <w:t>31.03.2025.</w:t>
            </w:r>
            <w:r w:rsidR="007C5589" w:rsidRPr="009E4A49">
              <w:rPr>
                <w:rFonts w:ascii="Times New Roman" w:hAnsi="Times New Roman"/>
                <w:color w:val="000000"/>
                <w:sz w:val="16"/>
                <w:szCs w:val="16"/>
              </w:rPr>
              <w:t> </w:t>
            </w:r>
          </w:p>
        </w:tc>
      </w:tr>
    </w:tbl>
    <w:p w14:paraId="648D3070" w14:textId="77777777" w:rsidR="007C5589" w:rsidRDefault="007C5589" w:rsidP="007C5589">
      <w:pPr>
        <w:spacing w:after="0" w:line="240" w:lineRule="auto"/>
        <w:rPr>
          <w:rFonts w:ascii="Times New Roman" w:hAnsi="Times New Roman"/>
          <w:b/>
          <w:bCs/>
          <w:i/>
        </w:rPr>
      </w:pPr>
    </w:p>
    <w:p w14:paraId="17881647" w14:textId="77777777" w:rsidR="007C5589" w:rsidRDefault="007C5589" w:rsidP="007C5589">
      <w:pPr>
        <w:spacing w:after="0" w:line="240" w:lineRule="auto"/>
        <w:rPr>
          <w:rFonts w:ascii="Times New Roman" w:hAnsi="Times New Roman"/>
          <w:b/>
          <w:bCs/>
          <w:i/>
        </w:rPr>
      </w:pPr>
    </w:p>
    <w:p w14:paraId="516121A2"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16543539" w14:textId="77777777" w:rsidR="007C5589" w:rsidRDefault="007C5589" w:rsidP="007C5589">
      <w:pPr>
        <w:autoSpaceDE w:val="0"/>
        <w:autoSpaceDN w:val="0"/>
        <w:adjustRightInd w:val="0"/>
        <w:spacing w:after="0" w:line="240" w:lineRule="auto"/>
        <w:jc w:val="both"/>
        <w:rPr>
          <w:rFonts w:ascii="Times New Roman" w:eastAsiaTheme="minorHAnsi" w:hAnsi="Times New Roman"/>
          <w:b/>
          <w:bCs/>
          <w:lang w:eastAsia="en-US"/>
        </w:rPr>
      </w:pPr>
    </w:p>
    <w:p w14:paraId="5A2910F5" w14:textId="77777777" w:rsidR="007C5589" w:rsidRDefault="007C5589" w:rsidP="007C5589">
      <w:pPr>
        <w:spacing w:after="0" w:line="240" w:lineRule="auto"/>
        <w:rPr>
          <w:rFonts w:ascii="Times New Roman" w:hAnsi="Times New Roman"/>
          <w:b/>
          <w:bCs/>
          <w:i/>
        </w:rPr>
      </w:pPr>
    </w:p>
    <w:p w14:paraId="747C7E70" w14:textId="77777777" w:rsidR="007C5589" w:rsidRDefault="007C5589" w:rsidP="007C5589">
      <w:pPr>
        <w:spacing w:after="0" w:line="240" w:lineRule="auto"/>
        <w:rPr>
          <w:rFonts w:ascii="Times New Roman" w:hAnsi="Times New Roman"/>
          <w:b/>
          <w:bCs/>
          <w:i/>
        </w:rPr>
      </w:pPr>
    </w:p>
    <w:p w14:paraId="670B7D0E" w14:textId="77777777" w:rsidR="007C5589" w:rsidRDefault="007C5589" w:rsidP="007C5589">
      <w:pPr>
        <w:spacing w:after="0" w:line="240" w:lineRule="auto"/>
        <w:rPr>
          <w:rFonts w:ascii="Times New Roman" w:hAnsi="Times New Roman"/>
          <w:b/>
          <w:bCs/>
          <w:i/>
        </w:rPr>
      </w:pPr>
    </w:p>
    <w:p w14:paraId="3EC9715B" w14:textId="77777777" w:rsidR="007C5589" w:rsidRDefault="007C5589" w:rsidP="007C5589">
      <w:pPr>
        <w:spacing w:after="0" w:line="240" w:lineRule="auto"/>
        <w:rPr>
          <w:rFonts w:ascii="Times New Roman" w:hAnsi="Times New Roman"/>
          <w:b/>
          <w:bCs/>
          <w:i/>
        </w:rPr>
      </w:pPr>
    </w:p>
    <w:p w14:paraId="510E7FC8" w14:textId="77777777" w:rsidR="007C5589" w:rsidRDefault="007C5589" w:rsidP="007C5589">
      <w:pPr>
        <w:spacing w:after="0" w:line="240" w:lineRule="auto"/>
        <w:rPr>
          <w:rFonts w:ascii="Times New Roman" w:hAnsi="Times New Roman"/>
          <w:b/>
          <w:bCs/>
          <w:i/>
        </w:rPr>
      </w:pPr>
    </w:p>
    <w:p w14:paraId="3448FFB0" w14:textId="77777777" w:rsidR="007C5589" w:rsidRDefault="007C5589" w:rsidP="007C5589">
      <w:pPr>
        <w:spacing w:after="0" w:line="240" w:lineRule="auto"/>
        <w:rPr>
          <w:rFonts w:ascii="Times New Roman" w:hAnsi="Times New Roman"/>
          <w:b/>
          <w:bCs/>
          <w:i/>
        </w:rPr>
      </w:pPr>
    </w:p>
    <w:p w14:paraId="6F85C938" w14:textId="77777777" w:rsidR="007C5589" w:rsidRDefault="007C5589" w:rsidP="007C5589">
      <w:pPr>
        <w:spacing w:after="0" w:line="240" w:lineRule="auto"/>
        <w:rPr>
          <w:rFonts w:ascii="Times New Roman" w:hAnsi="Times New Roman"/>
          <w:b/>
          <w:bCs/>
          <w:i/>
        </w:rPr>
      </w:pPr>
    </w:p>
    <w:p w14:paraId="7A8551B7" w14:textId="77777777" w:rsidR="007C5589" w:rsidRDefault="007C5589" w:rsidP="007C5589">
      <w:pPr>
        <w:spacing w:after="0" w:line="240" w:lineRule="auto"/>
        <w:rPr>
          <w:rFonts w:ascii="Times New Roman" w:hAnsi="Times New Roman"/>
          <w:b/>
          <w:bCs/>
          <w:iCs/>
          <w:sz w:val="16"/>
          <w:szCs w:val="16"/>
        </w:rPr>
        <w:sectPr w:rsidR="007C5589" w:rsidSect="007C5589">
          <w:footerReference w:type="default" r:id="rId23"/>
          <w:pgSz w:w="11906" w:h="16838"/>
          <w:pgMar w:top="1418" w:right="1418" w:bottom="1418" w:left="1418" w:header="708" w:footer="708" w:gutter="0"/>
          <w:cols w:space="708"/>
          <w:docGrid w:linePitch="360"/>
        </w:sectPr>
      </w:pPr>
    </w:p>
    <w:p w14:paraId="679CDABB" w14:textId="77777777" w:rsidR="007C5589" w:rsidRDefault="007C5589" w:rsidP="007C5589">
      <w:pPr>
        <w:spacing w:after="0" w:line="240" w:lineRule="auto"/>
        <w:rPr>
          <w:rFonts w:ascii="Times New Roman" w:hAnsi="Times New Roman"/>
          <w:b/>
          <w:bCs/>
          <w:i/>
        </w:rPr>
      </w:pPr>
    </w:p>
    <w:p w14:paraId="07801E84" w14:textId="0A207DEB" w:rsidR="007C5589" w:rsidRPr="00334D15" w:rsidRDefault="007C5589" w:rsidP="007C5589">
      <w:pPr>
        <w:autoSpaceDE w:val="0"/>
        <w:autoSpaceDN w:val="0"/>
        <w:adjustRightInd w:val="0"/>
        <w:spacing w:after="0" w:line="240" w:lineRule="auto"/>
        <w:jc w:val="both"/>
        <w:rPr>
          <w:rFonts w:ascii="Times New Roman" w:hAnsi="Times New Roman"/>
          <w:b/>
          <w:bCs/>
          <w:i/>
        </w:rPr>
      </w:pPr>
      <w:r w:rsidRPr="00334D15">
        <w:rPr>
          <w:rFonts w:ascii="Times New Roman" w:eastAsiaTheme="minorHAnsi" w:hAnsi="Times New Roman"/>
          <w:b/>
          <w:bCs/>
          <w:lang w:eastAsia="en-US"/>
        </w:rPr>
        <w:t xml:space="preserve">Tablica broj </w:t>
      </w:r>
      <w:r w:rsidR="00EA2D87">
        <w:rPr>
          <w:rFonts w:ascii="Times New Roman" w:eastAsiaTheme="minorHAnsi" w:hAnsi="Times New Roman"/>
          <w:b/>
          <w:bCs/>
          <w:lang w:eastAsia="en-US"/>
        </w:rPr>
        <w:t>4</w:t>
      </w:r>
      <w:r>
        <w:rPr>
          <w:rFonts w:ascii="Times New Roman" w:eastAsiaTheme="minorHAnsi" w:hAnsi="Times New Roman"/>
          <w:b/>
          <w:bCs/>
          <w:lang w:eastAsia="en-US"/>
        </w:rPr>
        <w:t>.</w:t>
      </w:r>
      <w:r w:rsidRPr="00334D15">
        <w:rPr>
          <w:rFonts w:ascii="Times New Roman" w:eastAsiaTheme="minorHAnsi" w:hAnsi="Times New Roman"/>
          <w:b/>
          <w:bCs/>
          <w:lang w:eastAsia="en-US"/>
        </w:rPr>
        <w:t xml:space="preserve">: </w:t>
      </w:r>
      <w:r>
        <w:rPr>
          <w:rFonts w:ascii="Times New Roman" w:hAnsi="Times New Roman"/>
        </w:rPr>
        <w:t xml:space="preserve">Stanje obveza po kreditima na dan </w:t>
      </w:r>
      <w:r w:rsidR="00D31EB3">
        <w:rPr>
          <w:rFonts w:ascii="Times New Roman" w:hAnsi="Times New Roman"/>
        </w:rPr>
        <w:t>31.12</w:t>
      </w:r>
      <w:r w:rsidR="009C73CC">
        <w:rPr>
          <w:rFonts w:ascii="Times New Roman" w:hAnsi="Times New Roman"/>
        </w:rPr>
        <w:t>.2025</w:t>
      </w:r>
      <w:r>
        <w:rPr>
          <w:rFonts w:ascii="Times New Roman" w:hAnsi="Times New Roman"/>
        </w:rPr>
        <w:t>. godine</w:t>
      </w:r>
    </w:p>
    <w:tbl>
      <w:tblPr>
        <w:tblW w:w="15083" w:type="dxa"/>
        <w:shd w:val="clear" w:color="auto" w:fill="FF0000"/>
        <w:tblCellMar>
          <w:left w:w="0" w:type="dxa"/>
          <w:right w:w="0" w:type="dxa"/>
        </w:tblCellMar>
        <w:tblLook w:val="04A0" w:firstRow="1" w:lastRow="0" w:firstColumn="1" w:lastColumn="0" w:noHBand="0" w:noVBand="1"/>
      </w:tblPr>
      <w:tblGrid>
        <w:gridCol w:w="634"/>
        <w:gridCol w:w="1728"/>
        <w:gridCol w:w="1560"/>
        <w:gridCol w:w="1274"/>
        <w:gridCol w:w="1354"/>
        <w:gridCol w:w="1426"/>
        <w:gridCol w:w="1372"/>
        <w:gridCol w:w="1134"/>
        <w:gridCol w:w="982"/>
        <w:gridCol w:w="1270"/>
        <w:gridCol w:w="1230"/>
        <w:gridCol w:w="1119"/>
      </w:tblGrid>
      <w:tr w:rsidR="00F71D9A" w:rsidRPr="000B09BE" w14:paraId="3F338945" w14:textId="77777777" w:rsidTr="001870D6">
        <w:trPr>
          <w:trHeight w:val="1257"/>
        </w:trPr>
        <w:tc>
          <w:tcPr>
            <w:tcW w:w="634"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91F549D"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R.</w:t>
            </w:r>
            <w:r>
              <w:rPr>
                <w:rFonts w:ascii="Times New Roman" w:hAnsi="Times New Roman"/>
                <w:b/>
                <w:bCs/>
                <w:iCs/>
                <w:sz w:val="16"/>
                <w:szCs w:val="16"/>
              </w:rPr>
              <w:t>BR.</w:t>
            </w:r>
          </w:p>
        </w:tc>
        <w:tc>
          <w:tcPr>
            <w:tcW w:w="1728"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1FE00C0"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KREDIT/ZAJAM</w:t>
            </w:r>
          </w:p>
        </w:tc>
        <w:tc>
          <w:tcPr>
            <w:tcW w:w="1560"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86F86F0"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KREDITOR</w:t>
            </w:r>
          </w:p>
        </w:tc>
        <w:tc>
          <w:tcPr>
            <w:tcW w:w="1274"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9988013"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UGOVORENA KAMATNA STOPA</w:t>
            </w:r>
          </w:p>
        </w:tc>
        <w:tc>
          <w:tcPr>
            <w:tcW w:w="1354"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4A763F67"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VALUTA UGOVARANJA</w:t>
            </w:r>
          </w:p>
        </w:tc>
        <w:tc>
          <w:tcPr>
            <w:tcW w:w="1426"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56B3ED7" w14:textId="4DE6CB6C" w:rsidR="007C5589" w:rsidRPr="000B09BE" w:rsidRDefault="007C5589" w:rsidP="00131EC7">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 xml:space="preserve">STANJE DUGA NA DAN </w:t>
            </w:r>
            <w:r w:rsidR="00131EC7">
              <w:rPr>
                <w:rFonts w:ascii="Times New Roman" w:hAnsi="Times New Roman"/>
                <w:b/>
                <w:bCs/>
                <w:iCs/>
                <w:sz w:val="16"/>
                <w:szCs w:val="16"/>
              </w:rPr>
              <w:t>01.01.2025</w:t>
            </w:r>
            <w:r w:rsidRPr="000B09BE">
              <w:rPr>
                <w:rFonts w:ascii="Times New Roman" w:hAnsi="Times New Roman"/>
                <w:b/>
                <w:bCs/>
                <w:iCs/>
                <w:sz w:val="16"/>
                <w:szCs w:val="16"/>
              </w:rPr>
              <w:t>. EUR</w:t>
            </w:r>
          </w:p>
        </w:tc>
        <w:tc>
          <w:tcPr>
            <w:tcW w:w="1372"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E569193" w14:textId="600F81E8"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NOVO ZADUŽIVANJE U 202</w:t>
            </w:r>
            <w:r w:rsidR="00131EC7">
              <w:rPr>
                <w:rFonts w:ascii="Times New Roman" w:hAnsi="Times New Roman"/>
                <w:b/>
                <w:bCs/>
                <w:iCs/>
                <w:sz w:val="16"/>
                <w:szCs w:val="16"/>
              </w:rPr>
              <w:t>5</w:t>
            </w:r>
            <w:r w:rsidRPr="000B09BE">
              <w:rPr>
                <w:rFonts w:ascii="Times New Roman" w:hAnsi="Times New Roman"/>
                <w:b/>
                <w:bCs/>
                <w:iCs/>
                <w:sz w:val="16"/>
                <w:szCs w:val="16"/>
              </w:rPr>
              <w:t>. EUR</w:t>
            </w:r>
          </w:p>
        </w:tc>
        <w:tc>
          <w:tcPr>
            <w:tcW w:w="1134"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A1B9B95" w14:textId="2B9F95E6"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OTPLATA GLAVNICE U 202</w:t>
            </w:r>
            <w:r w:rsidR="00131EC7">
              <w:rPr>
                <w:rFonts w:ascii="Times New Roman" w:hAnsi="Times New Roman"/>
                <w:b/>
                <w:bCs/>
                <w:iCs/>
                <w:sz w:val="16"/>
                <w:szCs w:val="16"/>
              </w:rPr>
              <w:t>5</w:t>
            </w:r>
            <w:r w:rsidRPr="000B09BE">
              <w:rPr>
                <w:rFonts w:ascii="Times New Roman" w:hAnsi="Times New Roman"/>
                <w:b/>
                <w:bCs/>
                <w:iCs/>
                <w:sz w:val="16"/>
                <w:szCs w:val="16"/>
              </w:rPr>
              <w:t>. EUR</w:t>
            </w:r>
          </w:p>
        </w:tc>
        <w:tc>
          <w:tcPr>
            <w:tcW w:w="982"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02C5B40" w14:textId="3D738BCA"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 xml:space="preserve">STANJE DUGA NA  DAN </w:t>
            </w:r>
            <w:r w:rsidR="00D31EB3">
              <w:rPr>
                <w:rFonts w:ascii="Times New Roman" w:hAnsi="Times New Roman"/>
                <w:b/>
                <w:bCs/>
                <w:iCs/>
                <w:sz w:val="16"/>
                <w:szCs w:val="16"/>
              </w:rPr>
              <w:t>31.12</w:t>
            </w:r>
            <w:r w:rsidR="00131EC7">
              <w:rPr>
                <w:rFonts w:ascii="Times New Roman" w:hAnsi="Times New Roman"/>
                <w:b/>
                <w:bCs/>
                <w:iCs/>
                <w:sz w:val="16"/>
                <w:szCs w:val="16"/>
              </w:rPr>
              <w:t>.2025</w:t>
            </w:r>
            <w:r w:rsidRPr="000B09BE">
              <w:rPr>
                <w:rFonts w:ascii="Times New Roman" w:hAnsi="Times New Roman"/>
                <w:b/>
                <w:bCs/>
                <w:iCs/>
                <w:sz w:val="16"/>
                <w:szCs w:val="16"/>
              </w:rPr>
              <w:t>. EUR</w:t>
            </w:r>
          </w:p>
        </w:tc>
        <w:tc>
          <w:tcPr>
            <w:tcW w:w="1270"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0B581F7"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SVEUKUPNE KAMATE PO OTPLATNOM PLANU</w:t>
            </w:r>
          </w:p>
        </w:tc>
        <w:tc>
          <w:tcPr>
            <w:tcW w:w="1230"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E47A0CB" w14:textId="0DD264A1"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 xml:space="preserve">SVEUKUPNO OTPLAĆENO KAMATA DO </w:t>
            </w:r>
            <w:r w:rsidR="00D31EB3">
              <w:rPr>
                <w:rFonts w:ascii="Times New Roman" w:hAnsi="Times New Roman"/>
                <w:b/>
                <w:bCs/>
                <w:iCs/>
                <w:sz w:val="16"/>
                <w:szCs w:val="16"/>
              </w:rPr>
              <w:t>31.12</w:t>
            </w:r>
            <w:r w:rsidR="00131EC7">
              <w:rPr>
                <w:rFonts w:ascii="Times New Roman" w:hAnsi="Times New Roman"/>
                <w:b/>
                <w:bCs/>
                <w:iCs/>
                <w:sz w:val="16"/>
                <w:szCs w:val="16"/>
              </w:rPr>
              <w:t>.2025</w:t>
            </w:r>
            <w:r w:rsidRPr="000B09BE">
              <w:rPr>
                <w:rFonts w:ascii="Times New Roman" w:hAnsi="Times New Roman"/>
                <w:b/>
                <w:bCs/>
                <w:iCs/>
                <w:sz w:val="16"/>
                <w:szCs w:val="16"/>
              </w:rPr>
              <w:t>.</w:t>
            </w:r>
          </w:p>
        </w:tc>
        <w:tc>
          <w:tcPr>
            <w:tcW w:w="1119" w:type="dxa"/>
            <w:tcBorders>
              <w:top w:val="single" w:sz="8" w:space="0" w:color="FFFFFF"/>
              <w:left w:val="single" w:sz="8" w:space="0" w:color="FFFFFF"/>
              <w:bottom w:val="single" w:sz="24"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4CF07133"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OSTALI TROŠKOVI (NAKNADE, …)</w:t>
            </w:r>
          </w:p>
        </w:tc>
      </w:tr>
      <w:tr w:rsidR="00F71D9A" w:rsidRPr="000B09BE" w14:paraId="0161870B" w14:textId="77777777" w:rsidTr="001870D6">
        <w:trPr>
          <w:trHeight w:val="966"/>
        </w:trPr>
        <w:tc>
          <w:tcPr>
            <w:tcW w:w="63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725EA71" w14:textId="77777777" w:rsidR="007C5589" w:rsidRPr="000B09BE" w:rsidRDefault="007C5589" w:rsidP="001870D6">
            <w:pPr>
              <w:spacing w:after="0" w:line="240" w:lineRule="auto"/>
              <w:jc w:val="center"/>
              <w:rPr>
                <w:rFonts w:ascii="Times New Roman" w:hAnsi="Times New Roman"/>
                <w:b/>
                <w:bCs/>
                <w:iCs/>
                <w:sz w:val="16"/>
                <w:szCs w:val="16"/>
              </w:rPr>
            </w:pPr>
            <w:r w:rsidRPr="000B09BE">
              <w:rPr>
                <w:rFonts w:ascii="Times New Roman" w:hAnsi="Times New Roman"/>
                <w:b/>
                <w:bCs/>
                <w:iCs/>
                <w:sz w:val="16"/>
                <w:szCs w:val="16"/>
              </w:rPr>
              <w:t>1</w:t>
            </w:r>
          </w:p>
        </w:tc>
        <w:tc>
          <w:tcPr>
            <w:tcW w:w="172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49FCABD" w14:textId="77777777" w:rsidR="007C5589" w:rsidRPr="000B09BE" w:rsidRDefault="007C5589" w:rsidP="001870D6">
            <w:pPr>
              <w:spacing w:after="0" w:line="240" w:lineRule="auto"/>
              <w:rPr>
                <w:rFonts w:ascii="Times New Roman" w:hAnsi="Times New Roman"/>
                <w:b/>
                <w:bCs/>
                <w:iCs/>
                <w:sz w:val="16"/>
                <w:szCs w:val="16"/>
              </w:rPr>
            </w:pPr>
            <w:r w:rsidRPr="000B09BE">
              <w:rPr>
                <w:rFonts w:ascii="Times New Roman" w:hAnsi="Times New Roman"/>
                <w:b/>
                <w:bCs/>
                <w:iCs/>
                <w:sz w:val="16"/>
                <w:szCs w:val="16"/>
              </w:rPr>
              <w:t xml:space="preserve">KREDIT </w:t>
            </w:r>
            <w:r>
              <w:rPr>
                <w:rFonts w:ascii="Times New Roman" w:hAnsi="Times New Roman"/>
                <w:b/>
                <w:bCs/>
                <w:iCs/>
                <w:sz w:val="16"/>
                <w:szCs w:val="16"/>
              </w:rPr>
              <w:t>–</w:t>
            </w:r>
            <w:r w:rsidRPr="000B09BE">
              <w:rPr>
                <w:rFonts w:ascii="Times New Roman" w:hAnsi="Times New Roman"/>
                <w:b/>
                <w:bCs/>
                <w:iCs/>
                <w:sz w:val="16"/>
                <w:szCs w:val="16"/>
              </w:rPr>
              <w:t xml:space="preserve"> </w:t>
            </w:r>
            <w:r>
              <w:rPr>
                <w:rFonts w:ascii="Times New Roman" w:hAnsi="Times New Roman"/>
                <w:b/>
                <w:bCs/>
                <w:iCs/>
                <w:sz w:val="16"/>
                <w:szCs w:val="16"/>
              </w:rPr>
              <w:t>3.500.000,00 HRK,</w:t>
            </w:r>
            <w:r w:rsidRPr="000B09BE">
              <w:rPr>
                <w:rFonts w:ascii="Times New Roman" w:hAnsi="Times New Roman"/>
                <w:b/>
                <w:bCs/>
                <w:iCs/>
                <w:sz w:val="16"/>
                <w:szCs w:val="16"/>
              </w:rPr>
              <w:t xml:space="preserve"> investicijski projekti   (</w:t>
            </w:r>
            <w:r>
              <w:rPr>
                <w:rFonts w:ascii="Times New Roman" w:hAnsi="Times New Roman"/>
                <w:b/>
                <w:bCs/>
                <w:iCs/>
                <w:sz w:val="16"/>
                <w:szCs w:val="16"/>
              </w:rPr>
              <w:t>7.07.2014</w:t>
            </w:r>
            <w:r w:rsidRPr="000B09BE">
              <w:rPr>
                <w:rFonts w:ascii="Times New Roman" w:hAnsi="Times New Roman"/>
                <w:b/>
                <w:bCs/>
                <w:iCs/>
                <w:sz w:val="16"/>
                <w:szCs w:val="16"/>
              </w:rPr>
              <w:t>.)</w:t>
            </w:r>
          </w:p>
        </w:tc>
        <w:tc>
          <w:tcPr>
            <w:tcW w:w="15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1319EC2" w14:textId="77777777" w:rsidR="007C5589" w:rsidRPr="000B09BE" w:rsidRDefault="007C5589" w:rsidP="001870D6">
            <w:pPr>
              <w:spacing w:after="0" w:line="240" w:lineRule="auto"/>
              <w:rPr>
                <w:rFonts w:ascii="Times New Roman" w:hAnsi="Times New Roman"/>
                <w:b/>
                <w:bCs/>
                <w:iCs/>
                <w:sz w:val="16"/>
                <w:szCs w:val="16"/>
              </w:rPr>
            </w:pPr>
            <w:r w:rsidRPr="000B09BE">
              <w:rPr>
                <w:rFonts w:ascii="Times New Roman" w:hAnsi="Times New Roman"/>
                <w:b/>
                <w:bCs/>
                <w:iCs/>
                <w:sz w:val="16"/>
                <w:szCs w:val="16"/>
              </w:rPr>
              <w:t xml:space="preserve">ZAGREBAČKA BANKA d.d.  </w:t>
            </w:r>
          </w:p>
        </w:tc>
        <w:tc>
          <w:tcPr>
            <w:tcW w:w="127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7A45A1C" w14:textId="77777777" w:rsidR="007C5589" w:rsidRPr="000B09BE" w:rsidRDefault="007C5589" w:rsidP="001870D6">
            <w:pPr>
              <w:spacing w:after="0" w:line="240" w:lineRule="auto"/>
              <w:rPr>
                <w:rFonts w:ascii="Times New Roman" w:hAnsi="Times New Roman"/>
                <w:b/>
                <w:bCs/>
                <w:iCs/>
                <w:sz w:val="16"/>
                <w:szCs w:val="16"/>
              </w:rPr>
            </w:pPr>
            <w:r>
              <w:rPr>
                <w:rFonts w:ascii="Times New Roman" w:hAnsi="Times New Roman"/>
                <w:b/>
                <w:bCs/>
                <w:iCs/>
                <w:sz w:val="16"/>
                <w:szCs w:val="16"/>
              </w:rPr>
              <w:t>3,35</w:t>
            </w:r>
            <w:r w:rsidRPr="000B09BE">
              <w:rPr>
                <w:rFonts w:ascii="Times New Roman" w:hAnsi="Times New Roman"/>
                <w:b/>
                <w:bCs/>
                <w:iCs/>
                <w:sz w:val="16"/>
                <w:szCs w:val="16"/>
              </w:rPr>
              <w:t xml:space="preserve"> % godišnje</w:t>
            </w:r>
            <w:r>
              <w:rPr>
                <w:rFonts w:ascii="Times New Roman" w:hAnsi="Times New Roman"/>
                <w:b/>
                <w:bCs/>
                <w:iCs/>
                <w:sz w:val="16"/>
                <w:szCs w:val="16"/>
              </w:rPr>
              <w:t>,</w:t>
            </w:r>
            <w:r w:rsidRPr="000B09BE">
              <w:rPr>
                <w:rFonts w:ascii="Times New Roman" w:hAnsi="Times New Roman"/>
                <w:b/>
                <w:bCs/>
                <w:iCs/>
                <w:sz w:val="16"/>
                <w:szCs w:val="16"/>
              </w:rPr>
              <w:t xml:space="preserve"> fiksna</w:t>
            </w:r>
          </w:p>
        </w:tc>
        <w:tc>
          <w:tcPr>
            <w:tcW w:w="135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721B1A5" w14:textId="77777777" w:rsidR="007C5589" w:rsidRPr="000B09BE" w:rsidRDefault="007C5589" w:rsidP="001870D6">
            <w:pPr>
              <w:spacing w:after="0" w:line="240" w:lineRule="auto"/>
              <w:rPr>
                <w:rFonts w:ascii="Times New Roman" w:hAnsi="Times New Roman"/>
                <w:b/>
                <w:bCs/>
                <w:iCs/>
                <w:sz w:val="16"/>
                <w:szCs w:val="16"/>
              </w:rPr>
            </w:pPr>
            <w:r>
              <w:rPr>
                <w:rFonts w:ascii="Times New Roman" w:hAnsi="Times New Roman"/>
                <w:b/>
                <w:bCs/>
                <w:iCs/>
                <w:sz w:val="16"/>
                <w:szCs w:val="16"/>
              </w:rPr>
              <w:t>HRK</w:t>
            </w:r>
          </w:p>
        </w:tc>
        <w:tc>
          <w:tcPr>
            <w:tcW w:w="14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12A9001B" w14:textId="5DA596A0" w:rsidR="007C5589" w:rsidRPr="000B09BE" w:rsidRDefault="00131EC7" w:rsidP="00131EC7">
            <w:pPr>
              <w:spacing w:after="0" w:line="240" w:lineRule="auto"/>
              <w:jc w:val="right"/>
              <w:rPr>
                <w:rFonts w:ascii="Times New Roman" w:hAnsi="Times New Roman"/>
                <w:b/>
                <w:bCs/>
                <w:iCs/>
                <w:sz w:val="16"/>
                <w:szCs w:val="16"/>
              </w:rPr>
            </w:pPr>
            <w:r>
              <w:rPr>
                <w:rFonts w:ascii="Times New Roman" w:hAnsi="Times New Roman"/>
                <w:b/>
                <w:bCs/>
                <w:iCs/>
                <w:sz w:val="16"/>
                <w:szCs w:val="16"/>
              </w:rPr>
              <w:t>5.727,25</w:t>
            </w:r>
          </w:p>
        </w:tc>
        <w:tc>
          <w:tcPr>
            <w:tcW w:w="137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875B444" w14:textId="77777777" w:rsidR="007C5589" w:rsidRPr="000B09BE" w:rsidRDefault="007C5589" w:rsidP="001870D6">
            <w:pPr>
              <w:spacing w:after="0" w:line="240" w:lineRule="auto"/>
              <w:jc w:val="right"/>
              <w:rPr>
                <w:rFonts w:ascii="Times New Roman" w:hAnsi="Times New Roman"/>
                <w:b/>
                <w:bCs/>
                <w:iCs/>
                <w:sz w:val="16"/>
                <w:szCs w:val="16"/>
              </w:rPr>
            </w:pPr>
            <w:r>
              <w:rPr>
                <w:rFonts w:ascii="Times New Roman" w:hAnsi="Times New Roman"/>
                <w:b/>
                <w:bCs/>
                <w:iCs/>
                <w:sz w:val="16"/>
                <w:szCs w:val="16"/>
              </w:rPr>
              <w:t>0,00</w:t>
            </w:r>
            <w:r w:rsidRPr="000B09BE">
              <w:rPr>
                <w:rFonts w:ascii="Times New Roman" w:hAnsi="Times New Roman"/>
                <w:b/>
                <w:bCs/>
                <w:iCs/>
                <w:sz w:val="16"/>
                <w:szCs w:val="16"/>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6919834" w14:textId="0784D7EB" w:rsidR="007C5589" w:rsidRPr="000B09BE" w:rsidRDefault="00131EC7" w:rsidP="00131EC7">
            <w:pPr>
              <w:spacing w:after="0" w:line="240" w:lineRule="auto"/>
              <w:jc w:val="right"/>
              <w:rPr>
                <w:rFonts w:ascii="Times New Roman" w:hAnsi="Times New Roman"/>
                <w:b/>
                <w:bCs/>
                <w:iCs/>
                <w:sz w:val="16"/>
                <w:szCs w:val="16"/>
              </w:rPr>
            </w:pPr>
            <w:r>
              <w:rPr>
                <w:rFonts w:ascii="Times New Roman" w:hAnsi="Times New Roman"/>
                <w:b/>
                <w:bCs/>
                <w:iCs/>
                <w:sz w:val="16"/>
                <w:szCs w:val="16"/>
              </w:rPr>
              <w:t>5.727,25</w:t>
            </w:r>
          </w:p>
        </w:tc>
        <w:tc>
          <w:tcPr>
            <w:tcW w:w="9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A88D457" w14:textId="610E9C85" w:rsidR="007C5589" w:rsidRPr="000B09BE" w:rsidRDefault="00131EC7" w:rsidP="001870D6">
            <w:pPr>
              <w:spacing w:after="0" w:line="240" w:lineRule="auto"/>
              <w:jc w:val="right"/>
              <w:rPr>
                <w:rFonts w:ascii="Times New Roman" w:hAnsi="Times New Roman"/>
                <w:b/>
                <w:bCs/>
                <w:iCs/>
                <w:sz w:val="16"/>
                <w:szCs w:val="16"/>
              </w:rPr>
            </w:pPr>
            <w:r>
              <w:rPr>
                <w:rFonts w:ascii="Times New Roman" w:hAnsi="Times New Roman"/>
                <w:b/>
                <w:bCs/>
                <w:iCs/>
                <w:sz w:val="16"/>
                <w:szCs w:val="16"/>
              </w:rPr>
              <w:t>0,00</w:t>
            </w:r>
          </w:p>
        </w:tc>
        <w:tc>
          <w:tcPr>
            <w:tcW w:w="127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E46D217" w14:textId="772A6D7A" w:rsidR="007C5589" w:rsidRPr="000B09BE" w:rsidRDefault="00F9737E" w:rsidP="001870D6">
            <w:pPr>
              <w:spacing w:after="0" w:line="240" w:lineRule="auto"/>
              <w:jc w:val="right"/>
              <w:rPr>
                <w:rFonts w:ascii="Times New Roman" w:hAnsi="Times New Roman"/>
                <w:b/>
                <w:bCs/>
                <w:iCs/>
                <w:sz w:val="16"/>
                <w:szCs w:val="16"/>
              </w:rPr>
            </w:pPr>
            <w:r>
              <w:rPr>
                <w:rFonts w:ascii="Times New Roman" w:hAnsi="Times New Roman"/>
                <w:b/>
                <w:bCs/>
                <w:iCs/>
                <w:sz w:val="16"/>
                <w:szCs w:val="16"/>
              </w:rPr>
              <w:t>45.179,86</w:t>
            </w:r>
          </w:p>
        </w:tc>
        <w:tc>
          <w:tcPr>
            <w:tcW w:w="12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DF696F1" w14:textId="5115EB57" w:rsidR="007C5589" w:rsidRPr="000B09BE" w:rsidRDefault="00F9737E" w:rsidP="001870D6">
            <w:pPr>
              <w:spacing w:after="0" w:line="240" w:lineRule="auto"/>
              <w:jc w:val="right"/>
              <w:rPr>
                <w:rFonts w:ascii="Times New Roman" w:hAnsi="Times New Roman"/>
                <w:b/>
                <w:bCs/>
                <w:iCs/>
                <w:sz w:val="16"/>
                <w:szCs w:val="16"/>
              </w:rPr>
            </w:pPr>
            <w:r>
              <w:rPr>
                <w:rFonts w:ascii="Times New Roman" w:hAnsi="Times New Roman"/>
                <w:b/>
                <w:bCs/>
                <w:iCs/>
                <w:sz w:val="16"/>
                <w:szCs w:val="16"/>
              </w:rPr>
              <w:t>75.179,86</w:t>
            </w:r>
          </w:p>
        </w:tc>
        <w:tc>
          <w:tcPr>
            <w:tcW w:w="111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58098C8B" w14:textId="77777777" w:rsidR="007C5589" w:rsidRPr="000B09BE" w:rsidRDefault="007C5589" w:rsidP="001870D6">
            <w:pPr>
              <w:spacing w:after="0" w:line="240" w:lineRule="auto"/>
              <w:jc w:val="right"/>
              <w:rPr>
                <w:rFonts w:ascii="Times New Roman" w:hAnsi="Times New Roman"/>
                <w:b/>
                <w:bCs/>
                <w:iCs/>
                <w:sz w:val="16"/>
                <w:szCs w:val="16"/>
              </w:rPr>
            </w:pPr>
          </w:p>
        </w:tc>
      </w:tr>
    </w:tbl>
    <w:p w14:paraId="2909D4FC" w14:textId="77777777" w:rsidR="007C5589" w:rsidRDefault="007C5589" w:rsidP="007C5589">
      <w:pPr>
        <w:ind w:firstLine="708"/>
        <w:rPr>
          <w:rFonts w:ascii="Times New Roman" w:hAnsi="Times New Roman"/>
          <w:b/>
          <w:bCs/>
          <w:i/>
        </w:rPr>
      </w:pPr>
    </w:p>
    <w:p w14:paraId="793C9219" w14:textId="77777777" w:rsidR="007C5589" w:rsidRPr="0084016E" w:rsidRDefault="007C5589" w:rsidP="007C5589">
      <w:pPr>
        <w:tabs>
          <w:tab w:val="left" w:pos="816"/>
        </w:tabs>
        <w:rPr>
          <w:rFonts w:ascii="Times New Roman" w:hAnsi="Times New Roman"/>
        </w:rPr>
        <w:sectPr w:rsidR="007C5589" w:rsidRPr="0084016E" w:rsidSect="007C5589">
          <w:pgSz w:w="16838" w:h="11906" w:orient="landscape"/>
          <w:pgMar w:top="1418" w:right="1418" w:bottom="1418" w:left="1418" w:header="709" w:footer="709" w:gutter="0"/>
          <w:cols w:space="708"/>
          <w:docGrid w:linePitch="360"/>
        </w:sectPr>
      </w:pPr>
    </w:p>
    <w:p w14:paraId="23BDBF05" w14:textId="77777777" w:rsidR="007C5589" w:rsidRDefault="007C5589" w:rsidP="007C5589">
      <w:pPr>
        <w:spacing w:after="0" w:line="240" w:lineRule="auto"/>
        <w:rPr>
          <w:rFonts w:ascii="Times New Roman" w:hAnsi="Times New Roman"/>
          <w:b/>
          <w:bCs/>
          <w:i/>
        </w:rPr>
      </w:pPr>
    </w:p>
    <w:p w14:paraId="4155F90F" w14:textId="77777777" w:rsidR="007C5589" w:rsidRPr="002A734C" w:rsidRDefault="007C5589" w:rsidP="007C5589">
      <w:pPr>
        <w:shd w:val="clear" w:color="auto" w:fill="DBE5F1" w:themeFill="accent1" w:themeFillTint="33"/>
        <w:spacing w:after="0" w:line="240" w:lineRule="auto"/>
        <w:contextualSpacing/>
        <w:rPr>
          <w:rFonts w:ascii="Times New Roman" w:hAnsi="Times New Roman"/>
          <w:b/>
          <w:iCs/>
        </w:rPr>
      </w:pPr>
      <w:r>
        <w:rPr>
          <w:rFonts w:ascii="Times New Roman" w:hAnsi="Times New Roman"/>
          <w:b/>
          <w:iCs/>
        </w:rPr>
        <w:t>3</w:t>
      </w:r>
      <w:r w:rsidRPr="002A734C">
        <w:rPr>
          <w:rFonts w:ascii="Times New Roman" w:hAnsi="Times New Roman"/>
          <w:b/>
          <w:iCs/>
        </w:rPr>
        <w:t>.3.</w:t>
      </w:r>
      <w:r>
        <w:rPr>
          <w:rFonts w:ascii="Times New Roman" w:hAnsi="Times New Roman"/>
          <w:b/>
          <w:iCs/>
        </w:rPr>
        <w:t xml:space="preserve"> </w:t>
      </w:r>
      <w:r w:rsidRPr="002A734C">
        <w:rPr>
          <w:rFonts w:ascii="Times New Roman" w:hAnsi="Times New Roman"/>
          <w:b/>
          <w:iCs/>
        </w:rPr>
        <w:t>IZVJEŠTAJ O DANIM JAMSTVIMA I PLAĆANJIMA PO PROTESTIRANIM JAMSTVIMA</w:t>
      </w:r>
    </w:p>
    <w:p w14:paraId="1A4090EA" w14:textId="77777777" w:rsidR="007C5589" w:rsidRDefault="007C5589" w:rsidP="007C5589">
      <w:pPr>
        <w:spacing w:after="0" w:line="240" w:lineRule="auto"/>
        <w:jc w:val="both"/>
        <w:rPr>
          <w:rFonts w:ascii="Times New Roman" w:hAnsi="Times New Roman"/>
          <w:szCs w:val="20"/>
        </w:rPr>
      </w:pPr>
    </w:p>
    <w:p w14:paraId="3A041A07" w14:textId="77777777" w:rsidR="007C5589" w:rsidRPr="00A322E9" w:rsidRDefault="007C5589" w:rsidP="007C5589">
      <w:pPr>
        <w:spacing w:after="0" w:line="240" w:lineRule="auto"/>
        <w:jc w:val="both"/>
        <w:rPr>
          <w:rFonts w:ascii="Times New Roman" w:hAnsi="Times New Roman"/>
          <w:szCs w:val="20"/>
        </w:rPr>
      </w:pPr>
      <w:r w:rsidRPr="00A322E9">
        <w:rPr>
          <w:rFonts w:ascii="Times New Roman" w:hAnsi="Times New Roman"/>
          <w:szCs w:val="20"/>
        </w:rPr>
        <w:t xml:space="preserve">Sukladno članku 129. Zakonu o proračunu („Narodne novine“, broj 144/21) jedinica lokalne i područne (regionalne) samouprave može dati jamstvo za dugoročno zaduženje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 </w:t>
      </w:r>
    </w:p>
    <w:p w14:paraId="7B06CA24" w14:textId="77777777" w:rsidR="007C5589" w:rsidRDefault="007C5589" w:rsidP="007C5589">
      <w:pPr>
        <w:spacing w:after="0" w:line="240" w:lineRule="auto"/>
        <w:jc w:val="both"/>
        <w:rPr>
          <w:rFonts w:ascii="Times New Roman" w:hAnsi="Times New Roman"/>
          <w:szCs w:val="20"/>
        </w:rPr>
      </w:pPr>
    </w:p>
    <w:p w14:paraId="4E85B107" w14:textId="77777777" w:rsidR="007C5589" w:rsidRPr="00A322E9" w:rsidRDefault="007C5589" w:rsidP="007C5589">
      <w:pPr>
        <w:spacing w:after="0" w:line="240" w:lineRule="auto"/>
        <w:jc w:val="both"/>
        <w:rPr>
          <w:rFonts w:ascii="Times New Roman" w:hAnsi="Times New Roman"/>
          <w:szCs w:val="20"/>
        </w:rPr>
      </w:pPr>
      <w:r w:rsidRPr="00A322E9">
        <w:rPr>
          <w:rFonts w:ascii="Times New Roman" w:hAnsi="Times New Roman"/>
          <w:szCs w:val="20"/>
        </w:rPr>
        <w:t xml:space="preserve">Jedinica lokalne i područne (regionalne) samouprave dužna je izvijestiti Ministarstvo financija o sklopljenom ugovoru o jamstvu u roku od 8 dana od dana sklapanja. Jedinica lokalne i područne (regionalne) samouprave dužna je izvještavati Ministarstvo financija unutar proračunske godine, tromjesečno, do 10.-og u mjesecu za prethodno izvještajno razdoblje o stanju aktivnih jamstva za koje je prethodno dana suglasnost. </w:t>
      </w:r>
    </w:p>
    <w:p w14:paraId="79E52D62" w14:textId="77777777" w:rsidR="007C5589" w:rsidRDefault="007C5589" w:rsidP="007C5589">
      <w:pPr>
        <w:spacing w:after="0" w:line="240" w:lineRule="auto"/>
        <w:jc w:val="both"/>
        <w:rPr>
          <w:rFonts w:ascii="Times New Roman" w:hAnsi="Times New Roman"/>
          <w:szCs w:val="20"/>
        </w:rPr>
      </w:pPr>
    </w:p>
    <w:p w14:paraId="680B129E" w14:textId="77777777" w:rsidR="007C5589" w:rsidRPr="00A322E9" w:rsidRDefault="007C5589" w:rsidP="007C5589">
      <w:pPr>
        <w:spacing w:after="0" w:line="240" w:lineRule="auto"/>
        <w:jc w:val="both"/>
        <w:rPr>
          <w:rFonts w:ascii="Times New Roman" w:hAnsi="Times New Roman"/>
          <w:szCs w:val="20"/>
        </w:rPr>
      </w:pPr>
      <w:r w:rsidRPr="00A322E9">
        <w:rPr>
          <w:rFonts w:ascii="Times New Roman" w:hAnsi="Times New Roman"/>
          <w:szCs w:val="20"/>
        </w:rPr>
        <w:t>Sukladno Pravilniku o polugodišnjem i godišnjem izvještaju o izvršenju proračuna i financijskog plana („Narodne novine“, broj 85/2023), izvještaj o danim jamstvima i  plaćanjima po protestiranim  jamstvima sadrži pregled danih i  pregled izvršenih plaćanja po protestiranim jamstvima u izvještajnom razdoblju. Za proračunsku godinu ovaj izvještaj dodatno sadrži i stanje aktivnih jamstva na početku i na kraju proračunske godine, stanje potraživanja po protestiranim jamstvima na početku i na kraju proračunske godine, i stanje potraživanja na ime premije/provizije na dana jamstva na početku i na kraju proračunske godine.</w:t>
      </w:r>
    </w:p>
    <w:p w14:paraId="0BD627B8" w14:textId="77777777" w:rsidR="007C5589" w:rsidRDefault="007C5589" w:rsidP="007C5589">
      <w:pPr>
        <w:spacing w:after="0" w:line="240" w:lineRule="auto"/>
        <w:jc w:val="both"/>
        <w:rPr>
          <w:rFonts w:ascii="Times New Roman" w:hAnsi="Times New Roman"/>
          <w:szCs w:val="20"/>
        </w:rPr>
      </w:pPr>
    </w:p>
    <w:p w14:paraId="31BE7C09" w14:textId="2D71C69F" w:rsidR="007C5589" w:rsidRPr="00A322E9" w:rsidRDefault="007C5589" w:rsidP="007C5589">
      <w:pPr>
        <w:spacing w:after="0" w:line="240" w:lineRule="auto"/>
        <w:jc w:val="both"/>
        <w:rPr>
          <w:rFonts w:ascii="Times New Roman" w:hAnsi="Times New Roman"/>
          <w:szCs w:val="20"/>
        </w:rPr>
      </w:pPr>
      <w:r w:rsidRPr="00A322E9">
        <w:rPr>
          <w:rFonts w:ascii="Times New Roman" w:hAnsi="Times New Roman"/>
          <w:szCs w:val="20"/>
        </w:rPr>
        <w:t>U razdoblju od 1.1.202</w:t>
      </w:r>
      <w:r w:rsidR="00131EC7">
        <w:rPr>
          <w:rFonts w:ascii="Times New Roman" w:hAnsi="Times New Roman"/>
          <w:szCs w:val="20"/>
        </w:rPr>
        <w:t>5</w:t>
      </w:r>
      <w:r w:rsidRPr="00A322E9">
        <w:rPr>
          <w:rFonts w:ascii="Times New Roman" w:hAnsi="Times New Roman"/>
          <w:szCs w:val="20"/>
        </w:rPr>
        <w:t xml:space="preserve">. </w:t>
      </w:r>
      <w:r w:rsidR="00F84EE5">
        <w:rPr>
          <w:rFonts w:ascii="Times New Roman" w:hAnsi="Times New Roman"/>
          <w:szCs w:val="20"/>
        </w:rPr>
        <w:t>–</w:t>
      </w:r>
      <w:r w:rsidRPr="00A322E9">
        <w:rPr>
          <w:rFonts w:ascii="Times New Roman" w:hAnsi="Times New Roman"/>
          <w:szCs w:val="20"/>
        </w:rPr>
        <w:t xml:space="preserve"> </w:t>
      </w:r>
      <w:r w:rsidR="00D31EB3">
        <w:rPr>
          <w:rFonts w:ascii="Times New Roman" w:hAnsi="Times New Roman"/>
          <w:szCs w:val="20"/>
        </w:rPr>
        <w:t>31.12</w:t>
      </w:r>
      <w:r w:rsidR="009C73CC">
        <w:rPr>
          <w:rFonts w:ascii="Times New Roman" w:hAnsi="Times New Roman"/>
          <w:szCs w:val="20"/>
        </w:rPr>
        <w:t>.2025</w:t>
      </w:r>
      <w:r w:rsidRPr="00A322E9">
        <w:rPr>
          <w:rFonts w:ascii="Times New Roman" w:hAnsi="Times New Roman"/>
          <w:szCs w:val="20"/>
        </w:rPr>
        <w:t xml:space="preserve">. godine </w:t>
      </w:r>
      <w:r>
        <w:rPr>
          <w:rFonts w:ascii="Times New Roman" w:hAnsi="Times New Roman"/>
          <w:szCs w:val="20"/>
        </w:rPr>
        <w:t>Općina Oprtalj</w:t>
      </w:r>
      <w:r w:rsidRPr="00A322E9">
        <w:rPr>
          <w:rFonts w:ascii="Times New Roman" w:hAnsi="Times New Roman"/>
          <w:szCs w:val="20"/>
        </w:rPr>
        <w:t xml:space="preserve"> nije d</w:t>
      </w:r>
      <w:r>
        <w:rPr>
          <w:rFonts w:ascii="Times New Roman" w:hAnsi="Times New Roman"/>
          <w:szCs w:val="20"/>
        </w:rPr>
        <w:t>avala</w:t>
      </w:r>
      <w:r w:rsidRPr="00A322E9">
        <w:rPr>
          <w:rFonts w:ascii="Times New Roman" w:hAnsi="Times New Roman"/>
          <w:szCs w:val="20"/>
        </w:rPr>
        <w:t xml:space="preserve"> jamstva sukladno članku 129. Zakona o proračunu („Narodne novine“, broj 144/21).</w:t>
      </w:r>
    </w:p>
    <w:p w14:paraId="66032F8E" w14:textId="77777777" w:rsidR="00F61A1C" w:rsidRDefault="00F61A1C" w:rsidP="00CD1A47">
      <w:pPr>
        <w:jc w:val="both"/>
        <w:rPr>
          <w:rFonts w:ascii="Times New Roman" w:hAnsi="Times New Roman"/>
          <w:sz w:val="24"/>
          <w:szCs w:val="24"/>
          <w:lang w:eastAsia="en-US"/>
        </w:rPr>
      </w:pPr>
    </w:p>
    <w:p w14:paraId="6D5AA510" w14:textId="77777777" w:rsidR="000470A4" w:rsidRDefault="000470A4" w:rsidP="000470A4">
      <w:pPr>
        <w:spacing w:after="0" w:line="240" w:lineRule="auto"/>
        <w:rPr>
          <w:rFonts w:ascii="Times New Roman" w:hAnsi="Times New Roman"/>
          <w:b/>
          <w:bCs/>
          <w:i/>
        </w:rPr>
      </w:pPr>
    </w:p>
    <w:p w14:paraId="497B55AA" w14:textId="77777777" w:rsidR="000470A4" w:rsidRDefault="000470A4" w:rsidP="000470A4">
      <w:pPr>
        <w:spacing w:after="0" w:line="240" w:lineRule="auto"/>
        <w:rPr>
          <w:rFonts w:ascii="Times New Roman" w:hAnsi="Times New Roman"/>
          <w:b/>
          <w:bCs/>
          <w:i/>
        </w:rPr>
      </w:pPr>
    </w:p>
    <w:p w14:paraId="55F540DA" w14:textId="689A74F5" w:rsidR="000470A4" w:rsidRPr="000470A4" w:rsidRDefault="000470A4" w:rsidP="000470A4">
      <w:pPr>
        <w:shd w:val="clear" w:color="auto" w:fill="DBE5F1" w:themeFill="accent1" w:themeFillTint="33"/>
        <w:spacing w:after="0" w:line="240" w:lineRule="auto"/>
        <w:contextualSpacing/>
        <w:rPr>
          <w:rFonts w:ascii="Times New Roman" w:hAnsi="Times New Roman"/>
          <w:b/>
          <w:iCs/>
        </w:rPr>
      </w:pPr>
      <w:r>
        <w:rPr>
          <w:rFonts w:ascii="Times New Roman" w:hAnsi="Times New Roman"/>
          <w:b/>
          <w:iCs/>
        </w:rPr>
        <w:t>3</w:t>
      </w:r>
      <w:r w:rsidRPr="002A734C">
        <w:rPr>
          <w:rFonts w:ascii="Times New Roman" w:hAnsi="Times New Roman"/>
          <w:b/>
          <w:iCs/>
        </w:rPr>
        <w:t>.</w:t>
      </w:r>
      <w:r>
        <w:rPr>
          <w:rFonts w:ascii="Times New Roman" w:hAnsi="Times New Roman"/>
          <w:b/>
          <w:iCs/>
        </w:rPr>
        <w:t>4</w:t>
      </w:r>
      <w:r w:rsidRPr="002A734C">
        <w:rPr>
          <w:rFonts w:ascii="Times New Roman" w:hAnsi="Times New Roman"/>
          <w:b/>
          <w:iCs/>
        </w:rPr>
        <w:t>.</w:t>
      </w:r>
      <w:r>
        <w:rPr>
          <w:rFonts w:ascii="Times New Roman" w:hAnsi="Times New Roman"/>
          <w:b/>
          <w:iCs/>
        </w:rPr>
        <w:t xml:space="preserve"> </w:t>
      </w:r>
      <w:r w:rsidRPr="002A734C">
        <w:rPr>
          <w:rFonts w:ascii="Times New Roman" w:hAnsi="Times New Roman"/>
          <w:b/>
          <w:iCs/>
        </w:rPr>
        <w:t xml:space="preserve">IZVJEŠTAJ O </w:t>
      </w:r>
      <w:r>
        <w:rPr>
          <w:rFonts w:ascii="Times New Roman" w:hAnsi="Times New Roman"/>
          <w:b/>
          <w:iCs/>
        </w:rPr>
        <w:t>KORIŠTENJU SREDSTAVA FONDOVA EUROPSKE UNIJE</w:t>
      </w:r>
    </w:p>
    <w:p w14:paraId="3CC5D4EB" w14:textId="77777777" w:rsidR="000470A4" w:rsidRPr="00837963" w:rsidRDefault="000470A4" w:rsidP="000470A4">
      <w:pPr>
        <w:pStyle w:val="box474667"/>
        <w:shd w:val="clear" w:color="auto" w:fill="FFFFFF"/>
        <w:spacing w:before="0" w:beforeAutospacing="0" w:after="0" w:afterAutospacing="0"/>
        <w:jc w:val="both"/>
        <w:textAlignment w:val="baseline"/>
        <w:rPr>
          <w:sz w:val="22"/>
          <w:szCs w:val="22"/>
        </w:rPr>
      </w:pPr>
      <w:r w:rsidRPr="00837963">
        <w:rPr>
          <w:sz w:val="22"/>
          <w:szCs w:val="22"/>
        </w:rPr>
        <w:t>Izvještaj o korištenju sredstava fondova Europske unije sadrži podatke o evidentiranim prihodima i primicima te rashodima i izdacima iz fondova Europske unije za proračunsku godinu po fondovima Europske unije i stanje obveza i potraživanja po sredstvima iz fondova Europske unije na kraju proračunske godine.</w:t>
      </w:r>
    </w:p>
    <w:p w14:paraId="0C862087" w14:textId="4F14C6B9" w:rsidR="000470A4" w:rsidRPr="00837963" w:rsidRDefault="000470A4" w:rsidP="000470A4">
      <w:pPr>
        <w:pStyle w:val="box474667"/>
        <w:shd w:val="clear" w:color="auto" w:fill="FFFFFF"/>
        <w:spacing w:before="0" w:beforeAutospacing="0" w:after="0" w:afterAutospacing="0"/>
        <w:jc w:val="both"/>
        <w:textAlignment w:val="baseline"/>
        <w:rPr>
          <w:sz w:val="22"/>
          <w:szCs w:val="22"/>
        </w:rPr>
      </w:pPr>
      <w:r w:rsidRPr="00837963">
        <w:rPr>
          <w:sz w:val="22"/>
          <w:szCs w:val="22"/>
        </w:rPr>
        <w:t xml:space="preserve">Osim navedenog, </w:t>
      </w:r>
      <w:r>
        <w:rPr>
          <w:sz w:val="22"/>
          <w:szCs w:val="22"/>
        </w:rPr>
        <w:t xml:space="preserve">izvještaj mora sadržavati i podatke o </w:t>
      </w:r>
      <w:r w:rsidRPr="00837963">
        <w:rPr>
          <w:sz w:val="22"/>
          <w:szCs w:val="22"/>
        </w:rPr>
        <w:t>ukupno ugovorenim sredstvima fondova Europske unije od početka provedbe projekta zaključno s izvještajnim razdobljem,</w:t>
      </w:r>
      <w:r>
        <w:rPr>
          <w:sz w:val="22"/>
          <w:szCs w:val="22"/>
        </w:rPr>
        <w:t xml:space="preserve"> te </w:t>
      </w:r>
      <w:r w:rsidRPr="00837963">
        <w:rPr>
          <w:sz w:val="22"/>
          <w:szCs w:val="22"/>
        </w:rPr>
        <w:t>ukupno uplaćenim sredstvima fondova Europske unije od početka provedbe projekta zaključno s izvještajnim razdobljem. U razdoblju od 1.1.202</w:t>
      </w:r>
      <w:r w:rsidR="00131EC7">
        <w:rPr>
          <w:sz w:val="22"/>
          <w:szCs w:val="22"/>
        </w:rPr>
        <w:t>5</w:t>
      </w:r>
      <w:r w:rsidRPr="00837963">
        <w:rPr>
          <w:sz w:val="22"/>
          <w:szCs w:val="22"/>
        </w:rPr>
        <w:t>. - 31.12. 202</w:t>
      </w:r>
      <w:r w:rsidR="009C73CC">
        <w:rPr>
          <w:sz w:val="22"/>
          <w:szCs w:val="22"/>
        </w:rPr>
        <w:t>5</w:t>
      </w:r>
      <w:r w:rsidRPr="00837963">
        <w:rPr>
          <w:sz w:val="22"/>
          <w:szCs w:val="22"/>
        </w:rPr>
        <w:t xml:space="preserve">. godine Općina Oprtalj nije </w:t>
      </w:r>
      <w:r>
        <w:rPr>
          <w:sz w:val="22"/>
          <w:szCs w:val="22"/>
        </w:rPr>
        <w:t>koristila sredstva fondova Europske unije.</w:t>
      </w:r>
    </w:p>
    <w:p w14:paraId="109A96C4" w14:textId="77777777" w:rsidR="000470A4" w:rsidRDefault="000470A4" w:rsidP="000470A4">
      <w:pPr>
        <w:spacing w:after="0" w:line="240" w:lineRule="auto"/>
        <w:rPr>
          <w:rFonts w:ascii="Times New Roman" w:hAnsi="Times New Roman"/>
        </w:rPr>
      </w:pPr>
    </w:p>
    <w:p w14:paraId="159687C4" w14:textId="77777777" w:rsidR="000470A4" w:rsidRDefault="000470A4" w:rsidP="000470A4">
      <w:pPr>
        <w:spacing w:after="0" w:line="240" w:lineRule="auto"/>
        <w:rPr>
          <w:rFonts w:ascii="Times New Roman" w:hAnsi="Times New Roman"/>
        </w:rPr>
      </w:pPr>
    </w:p>
    <w:p w14:paraId="4AE32446" w14:textId="77777777" w:rsidR="000470A4" w:rsidRDefault="000470A4" w:rsidP="000470A4">
      <w:pPr>
        <w:spacing w:after="0" w:line="240" w:lineRule="auto"/>
        <w:rPr>
          <w:rFonts w:ascii="Times New Roman" w:hAnsi="Times New Roman"/>
        </w:rPr>
      </w:pPr>
    </w:p>
    <w:p w14:paraId="4216B6DF" w14:textId="0885C21C" w:rsidR="000470A4" w:rsidRPr="000470A4" w:rsidRDefault="000470A4" w:rsidP="000470A4">
      <w:pPr>
        <w:shd w:val="clear" w:color="auto" w:fill="DBE5F1" w:themeFill="accent1" w:themeFillTint="33"/>
        <w:spacing w:after="0" w:line="240" w:lineRule="auto"/>
        <w:contextualSpacing/>
        <w:rPr>
          <w:rFonts w:ascii="Times New Roman" w:hAnsi="Times New Roman"/>
          <w:b/>
          <w:iCs/>
        </w:rPr>
      </w:pPr>
      <w:r>
        <w:rPr>
          <w:rFonts w:ascii="Times New Roman" w:hAnsi="Times New Roman"/>
          <w:b/>
          <w:iCs/>
        </w:rPr>
        <w:t>3</w:t>
      </w:r>
      <w:r w:rsidRPr="002A734C">
        <w:rPr>
          <w:rFonts w:ascii="Times New Roman" w:hAnsi="Times New Roman"/>
          <w:b/>
          <w:iCs/>
        </w:rPr>
        <w:t>.</w:t>
      </w:r>
      <w:r>
        <w:rPr>
          <w:rFonts w:ascii="Times New Roman" w:hAnsi="Times New Roman"/>
          <w:b/>
          <w:iCs/>
        </w:rPr>
        <w:t>5</w:t>
      </w:r>
      <w:r w:rsidRPr="002A734C">
        <w:rPr>
          <w:rFonts w:ascii="Times New Roman" w:hAnsi="Times New Roman"/>
          <w:b/>
          <w:iCs/>
        </w:rPr>
        <w:t>.</w:t>
      </w:r>
      <w:r>
        <w:rPr>
          <w:rFonts w:ascii="Times New Roman" w:hAnsi="Times New Roman"/>
          <w:b/>
          <w:iCs/>
        </w:rPr>
        <w:t xml:space="preserve"> </w:t>
      </w:r>
      <w:r w:rsidRPr="002A734C">
        <w:rPr>
          <w:rFonts w:ascii="Times New Roman" w:hAnsi="Times New Roman"/>
          <w:b/>
          <w:iCs/>
        </w:rPr>
        <w:t xml:space="preserve">IZVJEŠTAJ O </w:t>
      </w:r>
      <w:r>
        <w:rPr>
          <w:rFonts w:ascii="Times New Roman" w:hAnsi="Times New Roman"/>
          <w:b/>
          <w:iCs/>
        </w:rPr>
        <w:t>DANIM ZAJMOVIMA I POTRAŽIVANJA PO DANIM ZAJMOVIMA</w:t>
      </w:r>
    </w:p>
    <w:p w14:paraId="7C7251D7" w14:textId="2643C4B0" w:rsidR="000470A4" w:rsidRPr="00837963" w:rsidRDefault="000470A4" w:rsidP="000470A4">
      <w:pPr>
        <w:pStyle w:val="box474667"/>
        <w:shd w:val="clear" w:color="auto" w:fill="FFFFFF"/>
        <w:spacing w:before="0" w:beforeAutospacing="0" w:after="0" w:afterAutospacing="0"/>
        <w:jc w:val="both"/>
        <w:textAlignment w:val="baseline"/>
        <w:rPr>
          <w:sz w:val="22"/>
          <w:szCs w:val="22"/>
        </w:rPr>
      </w:pPr>
      <w:r w:rsidRPr="00837963">
        <w:rPr>
          <w:sz w:val="22"/>
          <w:szCs w:val="22"/>
        </w:rPr>
        <w:t>U razdoblju od 1.1.202</w:t>
      </w:r>
      <w:r w:rsidR="00131EC7">
        <w:rPr>
          <w:sz w:val="22"/>
          <w:szCs w:val="22"/>
        </w:rPr>
        <w:t>5</w:t>
      </w:r>
      <w:r w:rsidRPr="00837963">
        <w:rPr>
          <w:sz w:val="22"/>
          <w:szCs w:val="22"/>
        </w:rPr>
        <w:t>. - 31.12. 202</w:t>
      </w:r>
      <w:r w:rsidR="009C73CC">
        <w:rPr>
          <w:sz w:val="22"/>
          <w:szCs w:val="22"/>
        </w:rPr>
        <w:t>5</w:t>
      </w:r>
      <w:r w:rsidRPr="00837963">
        <w:rPr>
          <w:sz w:val="22"/>
          <w:szCs w:val="22"/>
        </w:rPr>
        <w:t xml:space="preserve">. godine Općina Oprtalj nije </w:t>
      </w:r>
      <w:r>
        <w:rPr>
          <w:sz w:val="22"/>
          <w:szCs w:val="22"/>
        </w:rPr>
        <w:t>davala zajmove niti ima potraživanja po danim zajmovima.</w:t>
      </w:r>
    </w:p>
    <w:p w14:paraId="48BA9439" w14:textId="77777777" w:rsidR="000470A4" w:rsidRDefault="000470A4" w:rsidP="000470A4">
      <w:pPr>
        <w:spacing w:after="0" w:line="240" w:lineRule="auto"/>
        <w:rPr>
          <w:rFonts w:ascii="Times New Roman" w:hAnsi="Times New Roman"/>
          <w:color w:val="FF0000"/>
        </w:rPr>
      </w:pPr>
    </w:p>
    <w:p w14:paraId="38D536EF" w14:textId="77777777" w:rsidR="000470A4" w:rsidRDefault="000470A4" w:rsidP="000470A4">
      <w:pPr>
        <w:spacing w:after="0" w:line="240" w:lineRule="auto"/>
        <w:rPr>
          <w:rFonts w:ascii="Times New Roman" w:hAnsi="Times New Roman"/>
          <w:color w:val="FF0000"/>
        </w:rPr>
      </w:pPr>
    </w:p>
    <w:p w14:paraId="66A93BB3" w14:textId="77777777" w:rsidR="000470A4" w:rsidRDefault="000470A4" w:rsidP="000470A4">
      <w:pPr>
        <w:spacing w:after="0" w:line="240" w:lineRule="auto"/>
        <w:rPr>
          <w:rFonts w:ascii="Times New Roman" w:hAnsi="Times New Roman"/>
          <w:color w:val="FF0000"/>
        </w:rPr>
      </w:pPr>
    </w:p>
    <w:p w14:paraId="056429CF" w14:textId="77777777" w:rsidR="000470A4" w:rsidRDefault="000470A4" w:rsidP="000470A4">
      <w:pPr>
        <w:spacing w:after="0" w:line="240" w:lineRule="auto"/>
        <w:rPr>
          <w:rFonts w:ascii="Times New Roman" w:hAnsi="Times New Roman"/>
          <w:color w:val="FF0000"/>
        </w:rPr>
      </w:pPr>
    </w:p>
    <w:p w14:paraId="6EA48D43" w14:textId="77777777" w:rsidR="000470A4" w:rsidRDefault="000470A4" w:rsidP="000470A4">
      <w:pPr>
        <w:spacing w:after="0" w:line="240" w:lineRule="auto"/>
        <w:rPr>
          <w:rFonts w:ascii="Times New Roman" w:hAnsi="Times New Roman"/>
          <w:color w:val="FF0000"/>
        </w:rPr>
      </w:pPr>
    </w:p>
    <w:p w14:paraId="28E40998" w14:textId="77777777" w:rsidR="000470A4" w:rsidRDefault="000470A4" w:rsidP="000470A4">
      <w:pPr>
        <w:spacing w:after="0" w:line="240" w:lineRule="auto"/>
        <w:rPr>
          <w:rFonts w:ascii="Times New Roman" w:hAnsi="Times New Roman"/>
          <w:color w:val="FF0000"/>
        </w:rPr>
      </w:pPr>
    </w:p>
    <w:p w14:paraId="6B6BD814" w14:textId="77777777" w:rsidR="000470A4" w:rsidRDefault="000470A4" w:rsidP="000470A4">
      <w:pPr>
        <w:spacing w:after="0" w:line="240" w:lineRule="auto"/>
        <w:rPr>
          <w:rFonts w:ascii="Times New Roman" w:hAnsi="Times New Roman"/>
          <w:color w:val="FF0000"/>
        </w:rPr>
      </w:pPr>
    </w:p>
    <w:p w14:paraId="39CC43D8" w14:textId="77777777" w:rsidR="000470A4" w:rsidRPr="00667758" w:rsidRDefault="000470A4" w:rsidP="000470A4">
      <w:pPr>
        <w:spacing w:after="0" w:line="240" w:lineRule="auto"/>
        <w:rPr>
          <w:rFonts w:ascii="Times New Roman" w:hAnsi="Times New Roman"/>
          <w:color w:val="FF0000"/>
        </w:rPr>
      </w:pPr>
    </w:p>
    <w:p w14:paraId="6C537CB9" w14:textId="77777777" w:rsidR="000470A4" w:rsidRPr="00F85895" w:rsidRDefault="000470A4" w:rsidP="000470A4">
      <w:pPr>
        <w:shd w:val="clear" w:color="auto" w:fill="DBE5F1" w:themeFill="accent1" w:themeFillTint="33"/>
        <w:spacing w:after="0" w:line="240" w:lineRule="auto"/>
        <w:contextualSpacing/>
        <w:rPr>
          <w:rFonts w:ascii="Times New Roman" w:hAnsi="Times New Roman"/>
          <w:b/>
          <w:iCs/>
        </w:rPr>
      </w:pPr>
      <w:r w:rsidRPr="00247D88">
        <w:rPr>
          <w:rFonts w:ascii="Times New Roman" w:hAnsi="Times New Roman"/>
          <w:b/>
          <w:iCs/>
        </w:rPr>
        <w:lastRenderedPageBreak/>
        <w:t>3.6. IZVJEŠTAJ O STANJU POTRAŽIVANJA I DOSPIJELIH OBVEZA TE STANJU POTENCIJALNIH OBVEZA PO OSNOVI SUDSKIH SPOROVA</w:t>
      </w:r>
    </w:p>
    <w:p w14:paraId="59E4BB71" w14:textId="77777777" w:rsidR="000470A4" w:rsidRDefault="000470A4" w:rsidP="000470A4">
      <w:pPr>
        <w:pStyle w:val="Default"/>
        <w:jc w:val="both"/>
        <w:rPr>
          <w:rFonts w:ascii="Times New Roman" w:hAnsi="Times New Roman" w:cs="Times New Roman"/>
          <w:b/>
          <w:i/>
          <w:color w:val="auto"/>
          <w:sz w:val="22"/>
          <w:szCs w:val="22"/>
        </w:rPr>
      </w:pPr>
    </w:p>
    <w:p w14:paraId="36F7D02B" w14:textId="77777777" w:rsidR="000470A4" w:rsidRPr="000470A4" w:rsidRDefault="000470A4" w:rsidP="00F77FB1">
      <w:pPr>
        <w:pStyle w:val="Default"/>
        <w:jc w:val="both"/>
        <w:rPr>
          <w:rFonts w:ascii="Times New Roman" w:hAnsi="Times New Roman" w:cs="Times New Roman"/>
          <w:b/>
          <w:i/>
          <w:color w:val="auto"/>
          <w:sz w:val="22"/>
          <w:szCs w:val="22"/>
        </w:rPr>
      </w:pPr>
      <w:r w:rsidRPr="000470A4">
        <w:rPr>
          <w:rFonts w:ascii="Times New Roman" w:hAnsi="Times New Roman" w:cs="Times New Roman"/>
          <w:b/>
          <w:i/>
          <w:color w:val="auto"/>
          <w:sz w:val="22"/>
          <w:szCs w:val="22"/>
        </w:rPr>
        <w:t xml:space="preserve">Stanje obveza </w:t>
      </w:r>
    </w:p>
    <w:p w14:paraId="4D48F79E" w14:textId="199610E6" w:rsidR="00C8680A" w:rsidRPr="00C8680A" w:rsidRDefault="00C8680A" w:rsidP="00C8680A">
      <w:pPr>
        <w:autoSpaceDE w:val="0"/>
        <w:autoSpaceDN w:val="0"/>
        <w:adjustRightInd w:val="0"/>
        <w:spacing w:after="0" w:line="240" w:lineRule="auto"/>
        <w:jc w:val="both"/>
        <w:rPr>
          <w:rFonts w:ascii="Times New Roman" w:hAnsi="Times New Roman"/>
        </w:rPr>
      </w:pPr>
      <w:r w:rsidRPr="00C8680A">
        <w:rPr>
          <w:rFonts w:ascii="Times New Roman" w:hAnsi="Times New Roman"/>
        </w:rPr>
        <w:t>Stanje obveza na kraju izvještajnog razdoblja</w:t>
      </w:r>
      <w:r w:rsidR="008F473C">
        <w:rPr>
          <w:rFonts w:ascii="Times New Roman" w:hAnsi="Times New Roman"/>
        </w:rPr>
        <w:t>, odnosno na dan 31. prosinac 2025. godine</w:t>
      </w:r>
      <w:r w:rsidRPr="00C8680A">
        <w:rPr>
          <w:rFonts w:ascii="Times New Roman" w:hAnsi="Times New Roman"/>
        </w:rPr>
        <w:t xml:space="preserve"> iznosi 56.347,68 EUR od čega dospjele obveze iznose 18.880,73 EUR, a nedospjele obveze 37.466,95 EUR. </w:t>
      </w:r>
    </w:p>
    <w:p w14:paraId="3701A73E" w14:textId="77777777" w:rsidR="00C8680A" w:rsidRPr="00C8680A" w:rsidRDefault="00C8680A" w:rsidP="00C8680A">
      <w:pPr>
        <w:autoSpaceDE w:val="0"/>
        <w:autoSpaceDN w:val="0"/>
        <w:adjustRightInd w:val="0"/>
        <w:spacing w:after="0" w:line="240" w:lineRule="auto"/>
        <w:jc w:val="both"/>
        <w:rPr>
          <w:rFonts w:ascii="Times New Roman" w:hAnsi="Times New Roman"/>
        </w:rPr>
      </w:pPr>
      <w:r w:rsidRPr="00C8680A">
        <w:rPr>
          <w:rFonts w:ascii="Times New Roman" w:hAnsi="Times New Roman"/>
        </w:rPr>
        <w:t xml:space="preserve">Od ukupno dospjelih obveza na kraju izvještajnog razdoblja u iznosu od 18.880,73 EUR unutar 60 dana dospjelo je na plaćanje 4.667,51 EUR, unutar narednih 61-180 dana dospjelo je 2.609,79 EUR, od 181-360 dana dospjelo je 10.812,54 EUR i konačno, preko 360 dana dospjelo je 790,89 EUR obveze. </w:t>
      </w:r>
    </w:p>
    <w:p w14:paraId="5579B98F" w14:textId="77777777" w:rsidR="00C8680A" w:rsidRPr="00C8680A" w:rsidRDefault="00C8680A" w:rsidP="00C8680A">
      <w:pPr>
        <w:autoSpaceDE w:val="0"/>
        <w:autoSpaceDN w:val="0"/>
        <w:adjustRightInd w:val="0"/>
        <w:spacing w:after="0" w:line="240" w:lineRule="auto"/>
        <w:jc w:val="both"/>
        <w:rPr>
          <w:rFonts w:ascii="Times New Roman" w:hAnsi="Times New Roman"/>
        </w:rPr>
      </w:pPr>
    </w:p>
    <w:p w14:paraId="39D09118" w14:textId="77777777" w:rsidR="00C8680A" w:rsidRPr="00C8680A" w:rsidRDefault="00C8680A" w:rsidP="00C8680A">
      <w:pPr>
        <w:autoSpaceDE w:val="0"/>
        <w:autoSpaceDN w:val="0"/>
        <w:adjustRightInd w:val="0"/>
        <w:spacing w:after="0" w:line="240" w:lineRule="auto"/>
        <w:jc w:val="both"/>
        <w:rPr>
          <w:rFonts w:ascii="Times New Roman" w:hAnsi="Times New Roman"/>
        </w:rPr>
      </w:pPr>
      <w:r w:rsidRPr="00C8680A">
        <w:rPr>
          <w:rFonts w:ascii="Times New Roman" w:hAnsi="Times New Roman"/>
        </w:rPr>
        <w:t>Valja napomenuti da od ukupno dospjelih obveza od 18.880,73 EUR, iznos od 14.105,71 EUR odnosi se na obveze za predujmove (pretplaćene iznose za komunalnu naknadu i slično), te su obveznici obavješteni o pretplaćenim iznosima i dogovoreno je da će se navedene pretplate zatvoriti sa fakturiranjima, odnosno njihovim obvezama za 2026. i daljnje godine.</w:t>
      </w:r>
    </w:p>
    <w:p w14:paraId="115B2003" w14:textId="77777777" w:rsidR="00C8680A" w:rsidRPr="00C8680A" w:rsidRDefault="00C8680A" w:rsidP="00C8680A">
      <w:pPr>
        <w:autoSpaceDE w:val="0"/>
        <w:autoSpaceDN w:val="0"/>
        <w:adjustRightInd w:val="0"/>
        <w:spacing w:after="0" w:line="240" w:lineRule="auto"/>
        <w:jc w:val="both"/>
        <w:rPr>
          <w:rFonts w:ascii="Times New Roman" w:hAnsi="Times New Roman"/>
        </w:rPr>
      </w:pPr>
    </w:p>
    <w:p w14:paraId="6FE7C1D8" w14:textId="49C4E4B7" w:rsidR="00C8680A" w:rsidRPr="00C8680A" w:rsidRDefault="00C8680A" w:rsidP="00C8680A">
      <w:pPr>
        <w:autoSpaceDE w:val="0"/>
        <w:autoSpaceDN w:val="0"/>
        <w:adjustRightInd w:val="0"/>
        <w:spacing w:after="0" w:line="240" w:lineRule="auto"/>
        <w:jc w:val="both"/>
        <w:rPr>
          <w:rFonts w:ascii="Times New Roman" w:hAnsi="Times New Roman"/>
        </w:rPr>
      </w:pPr>
      <w:r w:rsidRPr="00C8680A">
        <w:rPr>
          <w:rFonts w:ascii="Times New Roman" w:hAnsi="Times New Roman"/>
        </w:rPr>
        <w:t>Stanje nedospjelih obveza na kraju izvještajnog razdoblja iznosi 37.466,95 EUR. Navedene se obveze odnose na obveze za financijsku imovinu odnosno obveze za tuzemne kredite i zajmove, te redovite troškove poslovanja javne uprave.</w:t>
      </w:r>
    </w:p>
    <w:p w14:paraId="43D87A32" w14:textId="77777777" w:rsidR="000470A4" w:rsidRPr="000470A4" w:rsidRDefault="000470A4" w:rsidP="00F77FB1">
      <w:pPr>
        <w:pStyle w:val="Default"/>
        <w:jc w:val="both"/>
        <w:rPr>
          <w:rFonts w:ascii="Times New Roman" w:hAnsi="Times New Roman" w:cs="Times New Roman"/>
          <w:b/>
          <w:i/>
          <w:color w:val="FF0000"/>
          <w:sz w:val="22"/>
          <w:szCs w:val="22"/>
        </w:rPr>
      </w:pPr>
    </w:p>
    <w:p w14:paraId="62D4A14F" w14:textId="77777777" w:rsidR="000470A4" w:rsidRPr="003C6405" w:rsidRDefault="000470A4" w:rsidP="00F77FB1">
      <w:pPr>
        <w:pStyle w:val="Default"/>
        <w:jc w:val="both"/>
        <w:rPr>
          <w:rFonts w:ascii="Times New Roman" w:hAnsi="Times New Roman" w:cs="Times New Roman"/>
          <w:b/>
          <w:i/>
          <w:color w:val="auto"/>
          <w:sz w:val="22"/>
          <w:szCs w:val="22"/>
        </w:rPr>
      </w:pPr>
      <w:r w:rsidRPr="003C6405">
        <w:rPr>
          <w:rFonts w:ascii="Times New Roman" w:hAnsi="Times New Roman" w:cs="Times New Roman"/>
          <w:b/>
          <w:i/>
          <w:color w:val="auto"/>
          <w:sz w:val="22"/>
          <w:szCs w:val="22"/>
        </w:rPr>
        <w:t>Stanje potraživanja</w:t>
      </w:r>
    </w:p>
    <w:p w14:paraId="11AE0E92" w14:textId="4F09D7EB" w:rsidR="003C6405" w:rsidRPr="003C6405" w:rsidRDefault="003C6405" w:rsidP="003C6405">
      <w:pPr>
        <w:autoSpaceDE w:val="0"/>
        <w:autoSpaceDN w:val="0"/>
        <w:adjustRightInd w:val="0"/>
        <w:spacing w:after="0" w:line="240" w:lineRule="auto"/>
        <w:jc w:val="both"/>
        <w:rPr>
          <w:rFonts w:ascii="Times New Roman" w:hAnsi="Times New Roman"/>
        </w:rPr>
      </w:pPr>
      <w:r w:rsidRPr="003C6405">
        <w:rPr>
          <w:rFonts w:ascii="Times New Roman" w:hAnsi="Times New Roman"/>
          <w:i/>
          <w:u w:val="single"/>
        </w:rPr>
        <w:t>Potraživanja za jamčevne pologe, od zaposlenih te za više plaćene poreze i ostalo</w:t>
      </w:r>
      <w:r w:rsidRPr="003C6405">
        <w:rPr>
          <w:rFonts w:ascii="Times New Roman" w:hAnsi="Times New Roman"/>
        </w:rPr>
        <w:t xml:space="preserve"> iznose ukupno 11.115,33 EUR. Navedena sredstva smanjena su za 53,60 % u odnosu na prethodno izvještajno razdoblje. U navedenoj skupini konta promjenu bilježe, o</w:t>
      </w:r>
      <w:r w:rsidR="008F473C">
        <w:rPr>
          <w:rFonts w:ascii="Times New Roman" w:hAnsi="Times New Roman"/>
        </w:rPr>
        <w:t xml:space="preserve">stala potraživanja. </w:t>
      </w:r>
      <w:r w:rsidRPr="003C6405">
        <w:rPr>
          <w:rFonts w:ascii="Times New Roman" w:hAnsi="Times New Roman"/>
        </w:rPr>
        <w:t xml:space="preserve">Navedeno se smanjenje prvenstveno odnosi na potraživanja po predujmovima (predujmovi su zatvoreni na temelju pristiglih ulaznih računa). </w:t>
      </w:r>
    </w:p>
    <w:p w14:paraId="6E288A4B" w14:textId="660244D9" w:rsidR="003C6405" w:rsidRPr="003C6405" w:rsidRDefault="003C6405" w:rsidP="003C6405">
      <w:pPr>
        <w:autoSpaceDE w:val="0"/>
        <w:autoSpaceDN w:val="0"/>
        <w:adjustRightInd w:val="0"/>
        <w:spacing w:after="0" w:line="240" w:lineRule="auto"/>
        <w:jc w:val="both"/>
        <w:rPr>
          <w:rFonts w:ascii="Times New Roman" w:hAnsi="Times New Roman"/>
        </w:rPr>
      </w:pPr>
      <w:r w:rsidRPr="003C6405">
        <w:rPr>
          <w:rFonts w:ascii="Times New Roman" w:hAnsi="Times New Roman"/>
          <w:i/>
          <w:u w:val="single"/>
        </w:rPr>
        <w:t>Dionice i udjeli u glavnici</w:t>
      </w:r>
      <w:r w:rsidR="00C31FC4">
        <w:rPr>
          <w:rFonts w:ascii="Times New Roman" w:hAnsi="Times New Roman"/>
        </w:rPr>
        <w:t xml:space="preserve"> </w:t>
      </w:r>
      <w:r w:rsidRPr="003C6405">
        <w:rPr>
          <w:rFonts w:ascii="Times New Roman" w:hAnsi="Times New Roman"/>
        </w:rPr>
        <w:t>– tijekom izvještajnog razdoblja nije bilo većih promjena u visini udjela u glavnici trgovačkih društava u javnom sektoru. Povećane su dionice i udijeli u glavnici za 0,30%, navedeno se povećanje odnosi na udijele u trgovačkom poduzeću Kaštijun d.o.o.</w:t>
      </w:r>
    </w:p>
    <w:p w14:paraId="7270FBF8" w14:textId="77777777" w:rsidR="008F473C" w:rsidRDefault="008F473C" w:rsidP="003C6405">
      <w:pPr>
        <w:autoSpaceDE w:val="0"/>
        <w:autoSpaceDN w:val="0"/>
        <w:adjustRightInd w:val="0"/>
        <w:spacing w:after="0" w:line="240" w:lineRule="auto"/>
        <w:jc w:val="both"/>
        <w:rPr>
          <w:rFonts w:ascii="Times New Roman" w:hAnsi="Times New Roman"/>
          <w:i/>
          <w:u w:val="single"/>
        </w:rPr>
      </w:pPr>
    </w:p>
    <w:p w14:paraId="6B5AAB6C" w14:textId="5C8842A1" w:rsidR="003C6405" w:rsidRPr="003C6405" w:rsidRDefault="003C6405" w:rsidP="003C6405">
      <w:pPr>
        <w:autoSpaceDE w:val="0"/>
        <w:autoSpaceDN w:val="0"/>
        <w:adjustRightInd w:val="0"/>
        <w:spacing w:after="0" w:line="240" w:lineRule="auto"/>
        <w:jc w:val="both"/>
        <w:rPr>
          <w:rFonts w:ascii="Times New Roman" w:hAnsi="Times New Roman"/>
        </w:rPr>
      </w:pPr>
      <w:r w:rsidRPr="003C6405">
        <w:rPr>
          <w:rFonts w:ascii="Times New Roman" w:hAnsi="Times New Roman"/>
          <w:i/>
          <w:u w:val="single"/>
        </w:rPr>
        <w:t>Potraživanje za prihode poslovanja</w:t>
      </w:r>
      <w:r w:rsidR="00C31FC4">
        <w:rPr>
          <w:rFonts w:ascii="Times New Roman" w:hAnsi="Times New Roman"/>
        </w:rPr>
        <w:t xml:space="preserve"> </w:t>
      </w:r>
      <w:r w:rsidRPr="003C6405">
        <w:rPr>
          <w:rFonts w:ascii="Times New Roman" w:hAnsi="Times New Roman"/>
        </w:rPr>
        <w:t>– stanje ukupnog potraživanja za prihode poslovanja na dan 31. prosinca 2025. godine iznosi 217.604,59 EUR (bruto iznos) i u odnosu na prethodnu godinu veće je za 120.826,06 EUR (bruto iznos).</w:t>
      </w:r>
      <w:r w:rsidR="008F473C">
        <w:rPr>
          <w:rFonts w:ascii="Times New Roman" w:hAnsi="Times New Roman"/>
        </w:rPr>
        <w:t xml:space="preserve"> </w:t>
      </w:r>
      <w:r w:rsidRPr="003C6405">
        <w:rPr>
          <w:rFonts w:ascii="Times New Roman" w:hAnsi="Times New Roman"/>
        </w:rPr>
        <w:t>Navedeno povećanje se prvenstveno odnosi na podskupinu konta 165 Potraživanje za upravne i administrativne pristojbe, odnosno na uvođenje dvaju novih prihoda a samim time i potraživanja, i to potraživanje za grobnu naknadu i trajni zakup grobnih mjesta.</w:t>
      </w:r>
    </w:p>
    <w:p w14:paraId="106F3BC8" w14:textId="77777777" w:rsidR="003C6405" w:rsidRPr="003C6405" w:rsidRDefault="003C6405" w:rsidP="003C6405">
      <w:pPr>
        <w:autoSpaceDE w:val="0"/>
        <w:autoSpaceDN w:val="0"/>
        <w:adjustRightInd w:val="0"/>
        <w:spacing w:after="0" w:line="240" w:lineRule="auto"/>
        <w:jc w:val="both"/>
        <w:rPr>
          <w:rFonts w:ascii="Times New Roman" w:hAnsi="Times New Roman"/>
        </w:rPr>
      </w:pPr>
    </w:p>
    <w:p w14:paraId="165530B7" w14:textId="5F2C9958" w:rsidR="003C6405" w:rsidRDefault="003C6405" w:rsidP="003C6405">
      <w:pPr>
        <w:autoSpaceDE w:val="0"/>
        <w:autoSpaceDN w:val="0"/>
        <w:adjustRightInd w:val="0"/>
        <w:spacing w:after="0" w:line="240" w:lineRule="auto"/>
        <w:jc w:val="both"/>
        <w:rPr>
          <w:rFonts w:ascii="Times New Roman" w:hAnsi="Times New Roman"/>
        </w:rPr>
      </w:pPr>
      <w:r w:rsidRPr="00E966B0">
        <w:rPr>
          <w:rFonts w:ascii="Times New Roman" w:hAnsi="Times New Roman"/>
          <w:i/>
          <w:u w:val="single"/>
        </w:rPr>
        <w:t>Potraživanja od prodaje nefinancijske imovine</w:t>
      </w:r>
      <w:r w:rsidRPr="00E966B0">
        <w:rPr>
          <w:rFonts w:ascii="Times New Roman" w:hAnsi="Times New Roman"/>
        </w:rPr>
        <w:t xml:space="preserve"> iznose 51.975,43 EUR (bruto iznos) i smanjena su za 99.546,94 EUR u odnosu na stanje 01. siječnja 2025. godine. Navedeno smanjenje odnosi se prvenstveno na usklađenja kartica sa subjektima vezanih za prodaju stanova nad kojima postoji stanarsko pravo.</w:t>
      </w:r>
    </w:p>
    <w:p w14:paraId="314CCDE8" w14:textId="77777777" w:rsidR="00470781" w:rsidRDefault="00470781" w:rsidP="003C6405">
      <w:pPr>
        <w:autoSpaceDE w:val="0"/>
        <w:autoSpaceDN w:val="0"/>
        <w:adjustRightInd w:val="0"/>
        <w:spacing w:after="0" w:line="240" w:lineRule="auto"/>
        <w:jc w:val="both"/>
        <w:rPr>
          <w:rFonts w:ascii="Times New Roman" w:hAnsi="Times New Roman"/>
        </w:rPr>
      </w:pPr>
    </w:p>
    <w:p w14:paraId="6804E29B" w14:textId="3CBABAE5" w:rsidR="00470781" w:rsidRPr="00F95755" w:rsidRDefault="00470781" w:rsidP="00470781">
      <w:pPr>
        <w:autoSpaceDE w:val="0"/>
        <w:autoSpaceDN w:val="0"/>
        <w:adjustRightInd w:val="0"/>
        <w:spacing w:after="0" w:line="240" w:lineRule="auto"/>
        <w:jc w:val="both"/>
        <w:rPr>
          <w:rFonts w:ascii="Times New Roman" w:hAnsi="Times New Roman"/>
          <w:b/>
          <w:bCs/>
          <w:i/>
        </w:rPr>
      </w:pPr>
      <w:r w:rsidRPr="00F95755">
        <w:rPr>
          <w:rFonts w:ascii="Times New Roman" w:eastAsiaTheme="minorHAnsi" w:hAnsi="Times New Roman"/>
          <w:b/>
          <w:bCs/>
          <w:lang w:eastAsia="en-US"/>
        </w:rPr>
        <w:t xml:space="preserve">Tablica broj 5.: </w:t>
      </w:r>
      <w:r w:rsidRPr="00F95755">
        <w:rPr>
          <w:rFonts w:ascii="Times New Roman" w:hAnsi="Times New Roman"/>
        </w:rPr>
        <w:t>Stanje potraživanja na dan 31.12.2025. godine</w:t>
      </w:r>
    </w:p>
    <w:tbl>
      <w:tblPr>
        <w:tblW w:w="9493" w:type="dxa"/>
        <w:tblLook w:val="04A0" w:firstRow="1" w:lastRow="0" w:firstColumn="1" w:lastColumn="0" w:noHBand="0" w:noVBand="1"/>
      </w:tblPr>
      <w:tblGrid>
        <w:gridCol w:w="956"/>
        <w:gridCol w:w="2111"/>
        <w:gridCol w:w="1186"/>
        <w:gridCol w:w="1026"/>
        <w:gridCol w:w="1133"/>
        <w:gridCol w:w="1271"/>
        <w:gridCol w:w="1810"/>
      </w:tblGrid>
      <w:tr w:rsidR="00470781" w:rsidRPr="00470781" w14:paraId="1C629231" w14:textId="77777777" w:rsidTr="00470781">
        <w:trPr>
          <w:trHeight w:val="570"/>
        </w:trPr>
        <w:tc>
          <w:tcPr>
            <w:tcW w:w="961"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44AB8E2C"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RAČUN</w:t>
            </w:r>
          </w:p>
        </w:tc>
        <w:tc>
          <w:tcPr>
            <w:tcW w:w="2153"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0479F8FE"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OPIS</w:t>
            </w:r>
          </w:p>
        </w:tc>
        <w:tc>
          <w:tcPr>
            <w:tcW w:w="6379" w:type="dxa"/>
            <w:gridSpan w:val="5"/>
            <w:tcBorders>
              <w:top w:val="single" w:sz="4" w:space="0" w:color="auto"/>
              <w:left w:val="nil"/>
              <w:bottom w:val="single" w:sz="4" w:space="0" w:color="auto"/>
              <w:right w:val="single" w:sz="4" w:space="0" w:color="000000"/>
            </w:tcBorders>
            <w:shd w:val="clear" w:color="000000" w:fill="DDEBF7"/>
            <w:vAlign w:val="center"/>
            <w:hideMark/>
          </w:tcPr>
          <w:p w14:paraId="5651D4EE" w14:textId="0841CC56"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OPĆINA OPRTALJ</w:t>
            </w:r>
          </w:p>
        </w:tc>
      </w:tr>
      <w:tr w:rsidR="00470781" w:rsidRPr="00470781" w14:paraId="30AEF22A" w14:textId="77777777" w:rsidTr="00470781">
        <w:trPr>
          <w:trHeight w:val="570"/>
        </w:trPr>
        <w:tc>
          <w:tcPr>
            <w:tcW w:w="961" w:type="dxa"/>
            <w:vMerge/>
            <w:tcBorders>
              <w:top w:val="single" w:sz="4" w:space="0" w:color="auto"/>
              <w:left w:val="single" w:sz="4" w:space="0" w:color="auto"/>
              <w:bottom w:val="single" w:sz="4" w:space="0" w:color="000000"/>
              <w:right w:val="single" w:sz="4" w:space="0" w:color="auto"/>
            </w:tcBorders>
            <w:vAlign w:val="center"/>
            <w:hideMark/>
          </w:tcPr>
          <w:p w14:paraId="0C8F3294" w14:textId="77777777" w:rsidR="00470781" w:rsidRPr="00470781" w:rsidRDefault="00470781" w:rsidP="00470781">
            <w:pPr>
              <w:spacing w:after="0" w:line="240" w:lineRule="auto"/>
              <w:rPr>
                <w:rFonts w:ascii="Times New Roman" w:hAnsi="Times New Roman"/>
                <w:b/>
                <w:bCs/>
                <w:sz w:val="18"/>
                <w:szCs w:val="18"/>
              </w:rPr>
            </w:pPr>
          </w:p>
        </w:tc>
        <w:tc>
          <w:tcPr>
            <w:tcW w:w="2153" w:type="dxa"/>
            <w:vMerge/>
            <w:tcBorders>
              <w:top w:val="single" w:sz="4" w:space="0" w:color="auto"/>
              <w:left w:val="single" w:sz="4" w:space="0" w:color="auto"/>
              <w:bottom w:val="single" w:sz="4" w:space="0" w:color="000000"/>
              <w:right w:val="single" w:sz="4" w:space="0" w:color="auto"/>
            </w:tcBorders>
            <w:vAlign w:val="center"/>
            <w:hideMark/>
          </w:tcPr>
          <w:p w14:paraId="6C9403E5" w14:textId="77777777" w:rsidR="00470781" w:rsidRPr="00470781" w:rsidRDefault="00470781" w:rsidP="00470781">
            <w:pPr>
              <w:spacing w:after="0" w:line="240" w:lineRule="auto"/>
              <w:rPr>
                <w:rFonts w:ascii="Times New Roman" w:hAnsi="Times New Roman"/>
                <w:b/>
                <w:bCs/>
                <w:sz w:val="18"/>
                <w:szCs w:val="18"/>
              </w:rPr>
            </w:pPr>
          </w:p>
        </w:tc>
        <w:tc>
          <w:tcPr>
            <w:tcW w:w="1186" w:type="dxa"/>
            <w:tcBorders>
              <w:top w:val="nil"/>
              <w:left w:val="nil"/>
              <w:bottom w:val="single" w:sz="4" w:space="0" w:color="auto"/>
              <w:right w:val="single" w:sz="4" w:space="0" w:color="auto"/>
            </w:tcBorders>
            <w:shd w:val="clear" w:color="000000" w:fill="FFFFFF"/>
            <w:vAlign w:val="center"/>
            <w:hideMark/>
          </w:tcPr>
          <w:p w14:paraId="056667E0"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Ukupno potraživanje</w:t>
            </w:r>
          </w:p>
        </w:tc>
        <w:tc>
          <w:tcPr>
            <w:tcW w:w="941" w:type="dxa"/>
            <w:tcBorders>
              <w:top w:val="nil"/>
              <w:left w:val="nil"/>
              <w:bottom w:val="single" w:sz="4" w:space="0" w:color="auto"/>
              <w:right w:val="single" w:sz="4" w:space="0" w:color="auto"/>
            </w:tcBorders>
            <w:shd w:val="clear" w:color="000000" w:fill="FFFFFF"/>
            <w:vAlign w:val="center"/>
            <w:hideMark/>
          </w:tcPr>
          <w:p w14:paraId="44AB9D45"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 xml:space="preserve">Dospijelo </w:t>
            </w:r>
          </w:p>
        </w:tc>
        <w:tc>
          <w:tcPr>
            <w:tcW w:w="1134" w:type="dxa"/>
            <w:tcBorders>
              <w:top w:val="nil"/>
              <w:left w:val="nil"/>
              <w:bottom w:val="single" w:sz="4" w:space="0" w:color="auto"/>
              <w:right w:val="single" w:sz="4" w:space="0" w:color="auto"/>
            </w:tcBorders>
            <w:shd w:val="clear" w:color="000000" w:fill="FFFFFF"/>
            <w:vAlign w:val="center"/>
            <w:hideMark/>
          </w:tcPr>
          <w:p w14:paraId="06BD2FF2"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Nedospijelo</w:t>
            </w:r>
          </w:p>
        </w:tc>
        <w:tc>
          <w:tcPr>
            <w:tcW w:w="1275" w:type="dxa"/>
            <w:tcBorders>
              <w:top w:val="nil"/>
              <w:left w:val="nil"/>
              <w:bottom w:val="single" w:sz="4" w:space="0" w:color="auto"/>
              <w:right w:val="single" w:sz="4" w:space="0" w:color="auto"/>
            </w:tcBorders>
            <w:shd w:val="clear" w:color="000000" w:fill="FFFFFF"/>
            <w:vAlign w:val="center"/>
            <w:hideMark/>
          </w:tcPr>
          <w:p w14:paraId="22E4FC28"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Ispravak vrijednosti potraživanja</w:t>
            </w:r>
          </w:p>
        </w:tc>
        <w:tc>
          <w:tcPr>
            <w:tcW w:w="1843" w:type="dxa"/>
            <w:tcBorders>
              <w:top w:val="nil"/>
              <w:left w:val="nil"/>
              <w:bottom w:val="single" w:sz="4" w:space="0" w:color="auto"/>
              <w:right w:val="single" w:sz="4" w:space="0" w:color="auto"/>
            </w:tcBorders>
            <w:shd w:val="clear" w:color="000000" w:fill="FFFFFF"/>
            <w:vAlign w:val="center"/>
            <w:hideMark/>
          </w:tcPr>
          <w:p w14:paraId="45AA4892" w14:textId="77777777" w:rsidR="00470781" w:rsidRPr="00470781" w:rsidRDefault="00470781" w:rsidP="00470781">
            <w:pPr>
              <w:spacing w:after="0" w:line="240" w:lineRule="auto"/>
              <w:jc w:val="center"/>
              <w:rPr>
                <w:rFonts w:ascii="Times New Roman" w:hAnsi="Times New Roman"/>
                <w:b/>
                <w:bCs/>
                <w:sz w:val="18"/>
                <w:szCs w:val="18"/>
              </w:rPr>
            </w:pPr>
            <w:r w:rsidRPr="00470781">
              <w:rPr>
                <w:rFonts w:ascii="Times New Roman" w:hAnsi="Times New Roman"/>
                <w:b/>
                <w:bCs/>
                <w:sz w:val="18"/>
                <w:szCs w:val="18"/>
              </w:rPr>
              <w:t>Ukupno potraživanje minus ispravak vrijednosti potraživanja</w:t>
            </w:r>
          </w:p>
        </w:tc>
      </w:tr>
      <w:tr w:rsidR="00470781" w:rsidRPr="00470781" w14:paraId="6120AFC5" w14:textId="77777777" w:rsidTr="00470781">
        <w:trPr>
          <w:trHeight w:val="435"/>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5ECAA585" w14:textId="06C49A71" w:rsidR="00470781" w:rsidRPr="00470781" w:rsidRDefault="00F95755" w:rsidP="00470781">
            <w:pPr>
              <w:spacing w:after="0" w:line="240" w:lineRule="auto"/>
              <w:jc w:val="center"/>
              <w:rPr>
                <w:rFonts w:ascii="Times New Roman" w:hAnsi="Times New Roman"/>
                <w:sz w:val="18"/>
                <w:szCs w:val="18"/>
              </w:rPr>
            </w:pPr>
            <w:r>
              <w:rPr>
                <w:rFonts w:ascii="Times New Roman" w:hAnsi="Times New Roman"/>
                <w:sz w:val="18"/>
                <w:szCs w:val="18"/>
              </w:rPr>
              <w:t>129</w:t>
            </w:r>
          </w:p>
        </w:tc>
        <w:tc>
          <w:tcPr>
            <w:tcW w:w="2153" w:type="dxa"/>
            <w:tcBorders>
              <w:top w:val="nil"/>
              <w:left w:val="nil"/>
              <w:bottom w:val="single" w:sz="4" w:space="0" w:color="auto"/>
              <w:right w:val="single" w:sz="4" w:space="0" w:color="auto"/>
            </w:tcBorders>
            <w:shd w:val="clear" w:color="000000" w:fill="FFFFFF"/>
            <w:vAlign w:val="center"/>
            <w:hideMark/>
          </w:tcPr>
          <w:p w14:paraId="1F3CD960" w14:textId="1C986368" w:rsidR="00470781" w:rsidRPr="00470781" w:rsidRDefault="00F95755" w:rsidP="00470781">
            <w:pPr>
              <w:spacing w:after="0" w:line="240" w:lineRule="auto"/>
              <w:rPr>
                <w:rFonts w:ascii="Times New Roman" w:hAnsi="Times New Roman"/>
                <w:sz w:val="18"/>
                <w:szCs w:val="18"/>
              </w:rPr>
            </w:pPr>
            <w:r>
              <w:rPr>
                <w:rFonts w:ascii="Times New Roman" w:hAnsi="Times New Roman"/>
                <w:sz w:val="18"/>
                <w:szCs w:val="18"/>
              </w:rPr>
              <w:t>Ostala potraživanja</w:t>
            </w:r>
          </w:p>
        </w:tc>
        <w:tc>
          <w:tcPr>
            <w:tcW w:w="1186" w:type="dxa"/>
            <w:tcBorders>
              <w:top w:val="nil"/>
              <w:left w:val="nil"/>
              <w:bottom w:val="single" w:sz="4" w:space="0" w:color="auto"/>
              <w:right w:val="single" w:sz="4" w:space="0" w:color="auto"/>
            </w:tcBorders>
            <w:shd w:val="clear" w:color="000000" w:fill="FFFFFF"/>
            <w:vAlign w:val="center"/>
            <w:hideMark/>
          </w:tcPr>
          <w:p w14:paraId="7C6C0D97" w14:textId="16BADAAE" w:rsidR="00470781"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11.115,33</w:t>
            </w:r>
            <w:r w:rsidR="00470781" w:rsidRPr="00470781">
              <w:rPr>
                <w:rFonts w:ascii="Times New Roman" w:hAnsi="Times New Roman"/>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58525244" w14:textId="0D5D6104"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11.115,33</w:t>
            </w:r>
          </w:p>
        </w:tc>
        <w:tc>
          <w:tcPr>
            <w:tcW w:w="1134" w:type="dxa"/>
            <w:tcBorders>
              <w:top w:val="nil"/>
              <w:left w:val="nil"/>
              <w:bottom w:val="single" w:sz="4" w:space="0" w:color="auto"/>
              <w:right w:val="single" w:sz="4" w:space="0" w:color="auto"/>
            </w:tcBorders>
            <w:shd w:val="clear" w:color="000000" w:fill="FFFFFF"/>
            <w:vAlign w:val="center"/>
            <w:hideMark/>
          </w:tcPr>
          <w:p w14:paraId="692AD0A5" w14:textId="0E1D37F1"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0,00</w:t>
            </w:r>
            <w:r w:rsidR="00470781" w:rsidRPr="00470781">
              <w:rPr>
                <w:rFonts w:ascii="Times New Roman" w:hAnsi="Times New Roman"/>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14:paraId="2A9330E5" w14:textId="648FF890" w:rsidR="00470781" w:rsidRPr="00470781" w:rsidRDefault="00E35ED8" w:rsidP="00470781">
            <w:pPr>
              <w:spacing w:after="0" w:line="240" w:lineRule="auto"/>
              <w:jc w:val="right"/>
              <w:rPr>
                <w:rFonts w:ascii="Times New Roman" w:hAnsi="Times New Roman"/>
                <w:sz w:val="18"/>
                <w:szCs w:val="18"/>
              </w:rPr>
            </w:pPr>
            <w:r>
              <w:rPr>
                <w:rFonts w:ascii="Times New Roman" w:hAnsi="Times New Roman"/>
                <w:sz w:val="18"/>
                <w:szCs w:val="18"/>
              </w:rPr>
              <w:t>0,00</w:t>
            </w:r>
            <w:r w:rsidR="00470781" w:rsidRPr="00470781">
              <w:rPr>
                <w:rFonts w:ascii="Times New Roman" w:hAnsi="Times New Roman"/>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14:paraId="6BC78AB2" w14:textId="61F8579B" w:rsidR="00470781" w:rsidRPr="00470781" w:rsidRDefault="00E35ED8" w:rsidP="00470781">
            <w:pPr>
              <w:spacing w:after="0" w:line="240" w:lineRule="auto"/>
              <w:jc w:val="right"/>
              <w:rPr>
                <w:rFonts w:ascii="Times New Roman" w:hAnsi="Times New Roman"/>
                <w:sz w:val="18"/>
                <w:szCs w:val="18"/>
              </w:rPr>
            </w:pPr>
            <w:r>
              <w:rPr>
                <w:rFonts w:ascii="Times New Roman" w:hAnsi="Times New Roman"/>
                <w:sz w:val="18"/>
                <w:szCs w:val="18"/>
              </w:rPr>
              <w:t>11.115,33</w:t>
            </w:r>
            <w:r w:rsidR="00470781" w:rsidRPr="00470781">
              <w:rPr>
                <w:rFonts w:ascii="Times New Roman" w:hAnsi="Times New Roman"/>
                <w:sz w:val="18"/>
                <w:szCs w:val="18"/>
              </w:rPr>
              <w:t> </w:t>
            </w:r>
          </w:p>
        </w:tc>
      </w:tr>
      <w:tr w:rsidR="00470781" w:rsidRPr="00470781" w14:paraId="6F16F1B4" w14:textId="77777777" w:rsidTr="00470781">
        <w:trPr>
          <w:trHeight w:val="399"/>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3E0401FE" w14:textId="77777777" w:rsidR="00470781" w:rsidRPr="00470781" w:rsidRDefault="00470781" w:rsidP="00470781">
            <w:pPr>
              <w:spacing w:after="0" w:line="240" w:lineRule="auto"/>
              <w:jc w:val="center"/>
              <w:rPr>
                <w:rFonts w:ascii="Times New Roman" w:hAnsi="Times New Roman"/>
                <w:sz w:val="18"/>
                <w:szCs w:val="18"/>
              </w:rPr>
            </w:pPr>
            <w:r w:rsidRPr="00470781">
              <w:rPr>
                <w:rFonts w:ascii="Times New Roman" w:hAnsi="Times New Roman"/>
                <w:sz w:val="18"/>
                <w:szCs w:val="18"/>
              </w:rPr>
              <w:t>161</w:t>
            </w:r>
          </w:p>
        </w:tc>
        <w:tc>
          <w:tcPr>
            <w:tcW w:w="2153" w:type="dxa"/>
            <w:tcBorders>
              <w:top w:val="nil"/>
              <w:left w:val="nil"/>
              <w:bottom w:val="single" w:sz="4" w:space="0" w:color="auto"/>
              <w:right w:val="single" w:sz="4" w:space="0" w:color="auto"/>
            </w:tcBorders>
            <w:shd w:val="clear" w:color="000000" w:fill="FFFFFF"/>
            <w:vAlign w:val="center"/>
            <w:hideMark/>
          </w:tcPr>
          <w:p w14:paraId="3ACD368E" w14:textId="6E3134B6" w:rsidR="00470781" w:rsidRPr="00470781" w:rsidRDefault="00470781" w:rsidP="00F95755">
            <w:pPr>
              <w:spacing w:after="0" w:line="240" w:lineRule="auto"/>
              <w:rPr>
                <w:rFonts w:ascii="Times New Roman" w:hAnsi="Times New Roman"/>
                <w:sz w:val="18"/>
                <w:szCs w:val="18"/>
              </w:rPr>
            </w:pPr>
            <w:r w:rsidRPr="00470781">
              <w:rPr>
                <w:rFonts w:ascii="Times New Roman" w:hAnsi="Times New Roman"/>
                <w:sz w:val="18"/>
                <w:szCs w:val="18"/>
              </w:rPr>
              <w:t xml:space="preserve">Potraživanje za </w:t>
            </w:r>
            <w:r w:rsidR="00F95755">
              <w:rPr>
                <w:rFonts w:ascii="Times New Roman" w:hAnsi="Times New Roman"/>
                <w:sz w:val="18"/>
                <w:szCs w:val="18"/>
              </w:rPr>
              <w:t>poreze</w:t>
            </w:r>
          </w:p>
        </w:tc>
        <w:tc>
          <w:tcPr>
            <w:tcW w:w="1186" w:type="dxa"/>
            <w:tcBorders>
              <w:top w:val="nil"/>
              <w:left w:val="nil"/>
              <w:bottom w:val="single" w:sz="4" w:space="0" w:color="auto"/>
              <w:right w:val="single" w:sz="4" w:space="0" w:color="auto"/>
            </w:tcBorders>
            <w:shd w:val="clear" w:color="000000" w:fill="FFFFFF"/>
            <w:vAlign w:val="center"/>
            <w:hideMark/>
          </w:tcPr>
          <w:p w14:paraId="6DB2B1C9" w14:textId="14BA38DA" w:rsidR="00470781"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42.404,94</w:t>
            </w:r>
            <w:r w:rsidR="00470781" w:rsidRPr="00470781">
              <w:rPr>
                <w:rFonts w:ascii="Times New Roman" w:hAnsi="Times New Roman"/>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7B5B61CE" w14:textId="30318C59"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42.404,94</w:t>
            </w:r>
          </w:p>
        </w:tc>
        <w:tc>
          <w:tcPr>
            <w:tcW w:w="1134" w:type="dxa"/>
            <w:tcBorders>
              <w:top w:val="nil"/>
              <w:left w:val="nil"/>
              <w:bottom w:val="single" w:sz="4" w:space="0" w:color="auto"/>
              <w:right w:val="single" w:sz="4" w:space="0" w:color="auto"/>
            </w:tcBorders>
            <w:shd w:val="clear" w:color="000000" w:fill="FFFFFF"/>
            <w:vAlign w:val="center"/>
            <w:hideMark/>
          </w:tcPr>
          <w:p w14:paraId="7BC40A5A" w14:textId="7A1C8B25"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0,00</w:t>
            </w:r>
            <w:r w:rsidR="00470781" w:rsidRPr="00470781">
              <w:rPr>
                <w:rFonts w:ascii="Times New Roman" w:hAnsi="Times New Roman"/>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14:paraId="2ACE1BE7" w14:textId="22A4FE48" w:rsidR="00470781" w:rsidRPr="00470781" w:rsidRDefault="00470781" w:rsidP="00470781">
            <w:pPr>
              <w:spacing w:after="0" w:line="240" w:lineRule="auto"/>
              <w:jc w:val="right"/>
              <w:rPr>
                <w:rFonts w:ascii="Times New Roman" w:hAnsi="Times New Roman"/>
                <w:sz w:val="18"/>
                <w:szCs w:val="18"/>
              </w:rPr>
            </w:pPr>
            <w:r w:rsidRPr="00470781">
              <w:rPr>
                <w:rFonts w:ascii="Times New Roman" w:hAnsi="Times New Roman"/>
                <w:sz w:val="18"/>
                <w:szCs w:val="18"/>
              </w:rPr>
              <w:t> </w:t>
            </w:r>
            <w:r w:rsidR="002310DA">
              <w:rPr>
                <w:rFonts w:ascii="Times New Roman" w:hAnsi="Times New Roman"/>
                <w:sz w:val="18"/>
                <w:szCs w:val="18"/>
              </w:rPr>
              <w:t>7.010,76</w:t>
            </w:r>
          </w:p>
        </w:tc>
        <w:tc>
          <w:tcPr>
            <w:tcW w:w="1843" w:type="dxa"/>
            <w:tcBorders>
              <w:top w:val="nil"/>
              <w:left w:val="nil"/>
              <w:bottom w:val="single" w:sz="4" w:space="0" w:color="auto"/>
              <w:right w:val="single" w:sz="4" w:space="0" w:color="auto"/>
            </w:tcBorders>
            <w:shd w:val="clear" w:color="000000" w:fill="FFFFFF"/>
            <w:vAlign w:val="center"/>
            <w:hideMark/>
          </w:tcPr>
          <w:p w14:paraId="4011347A" w14:textId="55815111" w:rsidR="00470781" w:rsidRPr="00470781" w:rsidRDefault="006E1A0A" w:rsidP="00470781">
            <w:pPr>
              <w:spacing w:after="0" w:line="240" w:lineRule="auto"/>
              <w:jc w:val="right"/>
              <w:rPr>
                <w:rFonts w:ascii="Times New Roman" w:hAnsi="Times New Roman"/>
                <w:sz w:val="18"/>
                <w:szCs w:val="18"/>
              </w:rPr>
            </w:pPr>
            <w:r>
              <w:rPr>
                <w:rFonts w:ascii="Times New Roman" w:hAnsi="Times New Roman"/>
                <w:sz w:val="18"/>
                <w:szCs w:val="18"/>
              </w:rPr>
              <w:t>35.394,18</w:t>
            </w:r>
            <w:r w:rsidR="00470781" w:rsidRPr="00470781">
              <w:rPr>
                <w:rFonts w:ascii="Times New Roman" w:hAnsi="Times New Roman"/>
                <w:sz w:val="18"/>
                <w:szCs w:val="18"/>
              </w:rPr>
              <w:t> </w:t>
            </w:r>
          </w:p>
        </w:tc>
      </w:tr>
      <w:tr w:rsidR="00F95755" w:rsidRPr="00470781" w14:paraId="48FF875E" w14:textId="77777777" w:rsidTr="00470781">
        <w:trPr>
          <w:trHeight w:val="399"/>
        </w:trPr>
        <w:tc>
          <w:tcPr>
            <w:tcW w:w="961" w:type="dxa"/>
            <w:tcBorders>
              <w:top w:val="nil"/>
              <w:left w:val="single" w:sz="4" w:space="0" w:color="auto"/>
              <w:bottom w:val="single" w:sz="4" w:space="0" w:color="auto"/>
              <w:right w:val="single" w:sz="4" w:space="0" w:color="auto"/>
            </w:tcBorders>
            <w:shd w:val="clear" w:color="000000" w:fill="FFFFFF"/>
            <w:vAlign w:val="center"/>
          </w:tcPr>
          <w:p w14:paraId="57E4F899" w14:textId="3789CA8E" w:rsidR="00F95755" w:rsidRPr="00470781" w:rsidRDefault="00F95755" w:rsidP="00470781">
            <w:pPr>
              <w:spacing w:after="0" w:line="240" w:lineRule="auto"/>
              <w:jc w:val="center"/>
              <w:rPr>
                <w:rFonts w:ascii="Times New Roman" w:hAnsi="Times New Roman"/>
                <w:sz w:val="18"/>
                <w:szCs w:val="18"/>
              </w:rPr>
            </w:pPr>
            <w:r>
              <w:rPr>
                <w:rFonts w:ascii="Times New Roman" w:hAnsi="Times New Roman"/>
                <w:sz w:val="18"/>
                <w:szCs w:val="18"/>
              </w:rPr>
              <w:t>163</w:t>
            </w:r>
          </w:p>
        </w:tc>
        <w:tc>
          <w:tcPr>
            <w:tcW w:w="2153" w:type="dxa"/>
            <w:tcBorders>
              <w:top w:val="nil"/>
              <w:left w:val="nil"/>
              <w:bottom w:val="single" w:sz="4" w:space="0" w:color="auto"/>
              <w:right w:val="single" w:sz="4" w:space="0" w:color="auto"/>
            </w:tcBorders>
            <w:shd w:val="clear" w:color="000000" w:fill="FFFFFF"/>
            <w:vAlign w:val="center"/>
          </w:tcPr>
          <w:p w14:paraId="0621EF9C" w14:textId="1EFF2E98" w:rsidR="00F95755" w:rsidRPr="00470781" w:rsidRDefault="00F95755" w:rsidP="00F95755">
            <w:pPr>
              <w:spacing w:after="0" w:line="240" w:lineRule="auto"/>
              <w:rPr>
                <w:rFonts w:ascii="Times New Roman" w:hAnsi="Times New Roman"/>
                <w:sz w:val="18"/>
                <w:szCs w:val="18"/>
              </w:rPr>
            </w:pPr>
            <w:r>
              <w:rPr>
                <w:rFonts w:ascii="Times New Roman" w:hAnsi="Times New Roman"/>
                <w:sz w:val="18"/>
                <w:szCs w:val="18"/>
              </w:rPr>
              <w:t>Potraživanje za pomoći</w:t>
            </w:r>
          </w:p>
        </w:tc>
        <w:tc>
          <w:tcPr>
            <w:tcW w:w="1186" w:type="dxa"/>
            <w:tcBorders>
              <w:top w:val="nil"/>
              <w:left w:val="nil"/>
              <w:bottom w:val="single" w:sz="4" w:space="0" w:color="auto"/>
              <w:right w:val="single" w:sz="4" w:space="0" w:color="auto"/>
            </w:tcBorders>
            <w:shd w:val="clear" w:color="000000" w:fill="FFFFFF"/>
            <w:vAlign w:val="center"/>
          </w:tcPr>
          <w:p w14:paraId="5EF1E7F8" w14:textId="0A12778F" w:rsidR="00F95755" w:rsidRDefault="00F95755" w:rsidP="00470781">
            <w:pPr>
              <w:spacing w:after="0" w:line="240" w:lineRule="auto"/>
              <w:jc w:val="right"/>
              <w:rPr>
                <w:rFonts w:ascii="Times New Roman" w:hAnsi="Times New Roman"/>
                <w:sz w:val="18"/>
                <w:szCs w:val="18"/>
              </w:rPr>
            </w:pPr>
            <w:r>
              <w:rPr>
                <w:rFonts w:ascii="Times New Roman" w:hAnsi="Times New Roman"/>
                <w:sz w:val="18"/>
                <w:szCs w:val="18"/>
              </w:rPr>
              <w:t>6.000,00</w:t>
            </w:r>
          </w:p>
        </w:tc>
        <w:tc>
          <w:tcPr>
            <w:tcW w:w="941" w:type="dxa"/>
            <w:tcBorders>
              <w:top w:val="nil"/>
              <w:left w:val="nil"/>
              <w:bottom w:val="single" w:sz="4" w:space="0" w:color="auto"/>
              <w:right w:val="single" w:sz="4" w:space="0" w:color="auto"/>
            </w:tcBorders>
            <w:shd w:val="clear" w:color="000000" w:fill="FFFFFF"/>
            <w:vAlign w:val="center"/>
          </w:tcPr>
          <w:p w14:paraId="015D0D0F" w14:textId="38576883" w:rsidR="00F95755"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6.000,00</w:t>
            </w:r>
          </w:p>
        </w:tc>
        <w:tc>
          <w:tcPr>
            <w:tcW w:w="1134" w:type="dxa"/>
            <w:tcBorders>
              <w:top w:val="nil"/>
              <w:left w:val="nil"/>
              <w:bottom w:val="single" w:sz="4" w:space="0" w:color="auto"/>
              <w:right w:val="single" w:sz="4" w:space="0" w:color="auto"/>
            </w:tcBorders>
            <w:shd w:val="clear" w:color="000000" w:fill="FFFFFF"/>
            <w:vAlign w:val="center"/>
          </w:tcPr>
          <w:p w14:paraId="69CAA481" w14:textId="0FA8A1F3" w:rsidR="00F95755"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14:paraId="1E15E194" w14:textId="70BBBDC1" w:rsidR="00F95755" w:rsidRPr="00470781" w:rsidRDefault="002310DA" w:rsidP="00470781">
            <w:pPr>
              <w:spacing w:after="0" w:line="240" w:lineRule="auto"/>
              <w:jc w:val="right"/>
              <w:rPr>
                <w:rFonts w:ascii="Times New Roman" w:hAnsi="Times New Roman"/>
                <w:sz w:val="18"/>
                <w:szCs w:val="18"/>
              </w:rPr>
            </w:pPr>
            <w:r>
              <w:rPr>
                <w:rFonts w:ascii="Times New Roman" w:hAnsi="Times New Roman"/>
                <w:sz w:val="18"/>
                <w:szCs w:val="18"/>
              </w:rPr>
              <w:t>0,00</w:t>
            </w:r>
          </w:p>
        </w:tc>
        <w:tc>
          <w:tcPr>
            <w:tcW w:w="1843" w:type="dxa"/>
            <w:tcBorders>
              <w:top w:val="nil"/>
              <w:left w:val="nil"/>
              <w:bottom w:val="single" w:sz="4" w:space="0" w:color="auto"/>
              <w:right w:val="single" w:sz="4" w:space="0" w:color="auto"/>
            </w:tcBorders>
            <w:shd w:val="clear" w:color="000000" w:fill="FFFFFF"/>
            <w:vAlign w:val="center"/>
          </w:tcPr>
          <w:p w14:paraId="487B9B3E" w14:textId="7B84BD25" w:rsidR="00F95755" w:rsidRPr="00470781" w:rsidRDefault="00B74B44" w:rsidP="00470781">
            <w:pPr>
              <w:spacing w:after="0" w:line="240" w:lineRule="auto"/>
              <w:jc w:val="right"/>
              <w:rPr>
                <w:rFonts w:ascii="Times New Roman" w:hAnsi="Times New Roman"/>
                <w:sz w:val="18"/>
                <w:szCs w:val="18"/>
              </w:rPr>
            </w:pPr>
            <w:r>
              <w:rPr>
                <w:rFonts w:ascii="Times New Roman" w:hAnsi="Times New Roman"/>
                <w:sz w:val="18"/>
                <w:szCs w:val="18"/>
              </w:rPr>
              <w:t>6.000,00</w:t>
            </w:r>
          </w:p>
        </w:tc>
      </w:tr>
      <w:tr w:rsidR="00470781" w:rsidRPr="00470781" w14:paraId="57493DC2" w14:textId="77777777" w:rsidTr="00470781">
        <w:trPr>
          <w:trHeight w:val="419"/>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5E4367DF" w14:textId="77777777" w:rsidR="00470781" w:rsidRPr="00470781" w:rsidRDefault="00470781" w:rsidP="00470781">
            <w:pPr>
              <w:spacing w:after="0" w:line="240" w:lineRule="auto"/>
              <w:jc w:val="center"/>
              <w:rPr>
                <w:rFonts w:ascii="Times New Roman" w:hAnsi="Times New Roman"/>
                <w:sz w:val="18"/>
                <w:szCs w:val="18"/>
              </w:rPr>
            </w:pPr>
            <w:r w:rsidRPr="00470781">
              <w:rPr>
                <w:rFonts w:ascii="Times New Roman" w:hAnsi="Times New Roman"/>
                <w:sz w:val="18"/>
                <w:szCs w:val="18"/>
              </w:rPr>
              <w:t>164</w:t>
            </w:r>
          </w:p>
        </w:tc>
        <w:tc>
          <w:tcPr>
            <w:tcW w:w="2153" w:type="dxa"/>
            <w:tcBorders>
              <w:top w:val="nil"/>
              <w:left w:val="nil"/>
              <w:bottom w:val="single" w:sz="4" w:space="0" w:color="auto"/>
              <w:right w:val="single" w:sz="4" w:space="0" w:color="auto"/>
            </w:tcBorders>
            <w:shd w:val="clear" w:color="000000" w:fill="FFFFFF"/>
            <w:vAlign w:val="center"/>
            <w:hideMark/>
          </w:tcPr>
          <w:p w14:paraId="5AF4BBFD" w14:textId="77777777" w:rsidR="00470781" w:rsidRPr="00470781" w:rsidRDefault="00470781" w:rsidP="00470781">
            <w:pPr>
              <w:spacing w:after="0" w:line="240" w:lineRule="auto"/>
              <w:rPr>
                <w:rFonts w:ascii="Times New Roman" w:hAnsi="Times New Roman"/>
                <w:sz w:val="18"/>
                <w:szCs w:val="18"/>
              </w:rPr>
            </w:pPr>
            <w:r w:rsidRPr="00470781">
              <w:rPr>
                <w:rFonts w:ascii="Times New Roman" w:hAnsi="Times New Roman"/>
                <w:sz w:val="18"/>
                <w:szCs w:val="18"/>
              </w:rPr>
              <w:t>Potraživanje za prihode od imovine</w:t>
            </w:r>
          </w:p>
        </w:tc>
        <w:tc>
          <w:tcPr>
            <w:tcW w:w="1186" w:type="dxa"/>
            <w:tcBorders>
              <w:top w:val="nil"/>
              <w:left w:val="nil"/>
              <w:bottom w:val="single" w:sz="4" w:space="0" w:color="auto"/>
              <w:right w:val="single" w:sz="4" w:space="0" w:color="auto"/>
            </w:tcBorders>
            <w:shd w:val="clear" w:color="000000" w:fill="FFFFFF"/>
            <w:vAlign w:val="center"/>
            <w:hideMark/>
          </w:tcPr>
          <w:p w14:paraId="79DCBAEA" w14:textId="2C019331" w:rsidR="00470781"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38.130,57</w:t>
            </w:r>
            <w:r w:rsidR="00470781" w:rsidRPr="00470781">
              <w:rPr>
                <w:rFonts w:ascii="Times New Roman" w:hAnsi="Times New Roman"/>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23FB9354" w14:textId="0720CB68"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8.695,88</w:t>
            </w:r>
            <w:r w:rsidR="00470781" w:rsidRPr="00470781">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054FBBC9" w14:textId="76B9E2AC" w:rsidR="00470781" w:rsidRPr="00470781" w:rsidRDefault="0089280F" w:rsidP="00470781">
            <w:pPr>
              <w:spacing w:after="0" w:line="240" w:lineRule="auto"/>
              <w:jc w:val="right"/>
              <w:rPr>
                <w:rFonts w:ascii="Times New Roman" w:hAnsi="Times New Roman"/>
                <w:sz w:val="18"/>
                <w:szCs w:val="18"/>
              </w:rPr>
            </w:pPr>
            <w:r>
              <w:rPr>
                <w:rFonts w:ascii="Times New Roman" w:hAnsi="Times New Roman"/>
                <w:sz w:val="18"/>
                <w:szCs w:val="18"/>
              </w:rPr>
              <w:t>29.434,69</w:t>
            </w:r>
            <w:r w:rsidR="00470781" w:rsidRPr="00470781">
              <w:rPr>
                <w:rFonts w:ascii="Times New Roman" w:hAnsi="Times New Roman"/>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14:paraId="5EE3BF52" w14:textId="499C8AF2" w:rsidR="00470781" w:rsidRPr="00470781" w:rsidRDefault="002310DA" w:rsidP="00470781">
            <w:pPr>
              <w:spacing w:after="0" w:line="240" w:lineRule="auto"/>
              <w:jc w:val="right"/>
              <w:rPr>
                <w:rFonts w:ascii="Times New Roman" w:hAnsi="Times New Roman"/>
                <w:sz w:val="18"/>
                <w:szCs w:val="18"/>
              </w:rPr>
            </w:pPr>
            <w:r>
              <w:rPr>
                <w:rFonts w:ascii="Times New Roman" w:hAnsi="Times New Roman"/>
                <w:sz w:val="18"/>
                <w:szCs w:val="18"/>
              </w:rPr>
              <w:t>1.192,50</w:t>
            </w:r>
            <w:r w:rsidR="00470781" w:rsidRPr="00470781">
              <w:rPr>
                <w:rFonts w:ascii="Times New Roman" w:hAnsi="Times New Roman"/>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14:paraId="622F9A8F" w14:textId="7146D7D2" w:rsidR="00470781" w:rsidRPr="00470781" w:rsidRDefault="006E1A0A" w:rsidP="00470781">
            <w:pPr>
              <w:spacing w:after="0" w:line="240" w:lineRule="auto"/>
              <w:jc w:val="right"/>
              <w:rPr>
                <w:rFonts w:ascii="Times New Roman" w:hAnsi="Times New Roman"/>
                <w:sz w:val="18"/>
                <w:szCs w:val="18"/>
              </w:rPr>
            </w:pPr>
            <w:r>
              <w:rPr>
                <w:rFonts w:ascii="Times New Roman" w:hAnsi="Times New Roman"/>
                <w:sz w:val="18"/>
                <w:szCs w:val="18"/>
              </w:rPr>
              <w:t>36.938,07</w:t>
            </w:r>
            <w:r w:rsidR="00470781" w:rsidRPr="00470781">
              <w:rPr>
                <w:rFonts w:ascii="Times New Roman" w:hAnsi="Times New Roman"/>
                <w:sz w:val="18"/>
                <w:szCs w:val="18"/>
              </w:rPr>
              <w:t> </w:t>
            </w:r>
          </w:p>
        </w:tc>
      </w:tr>
      <w:tr w:rsidR="00F95755" w:rsidRPr="00470781" w14:paraId="388C93D0" w14:textId="77777777" w:rsidTr="00470781">
        <w:trPr>
          <w:trHeight w:val="419"/>
        </w:trPr>
        <w:tc>
          <w:tcPr>
            <w:tcW w:w="961" w:type="dxa"/>
            <w:tcBorders>
              <w:top w:val="nil"/>
              <w:left w:val="single" w:sz="4" w:space="0" w:color="auto"/>
              <w:bottom w:val="single" w:sz="4" w:space="0" w:color="auto"/>
              <w:right w:val="single" w:sz="4" w:space="0" w:color="auto"/>
            </w:tcBorders>
            <w:shd w:val="clear" w:color="000000" w:fill="FFFFFF"/>
            <w:vAlign w:val="center"/>
          </w:tcPr>
          <w:p w14:paraId="4432A728" w14:textId="513B0E68" w:rsidR="00F95755" w:rsidRPr="00470781" w:rsidRDefault="00F95755" w:rsidP="00470781">
            <w:pPr>
              <w:spacing w:after="0" w:line="240" w:lineRule="auto"/>
              <w:jc w:val="center"/>
              <w:rPr>
                <w:rFonts w:ascii="Times New Roman" w:hAnsi="Times New Roman"/>
                <w:sz w:val="18"/>
                <w:szCs w:val="18"/>
              </w:rPr>
            </w:pPr>
            <w:r>
              <w:rPr>
                <w:rFonts w:ascii="Times New Roman" w:hAnsi="Times New Roman"/>
                <w:sz w:val="18"/>
                <w:szCs w:val="18"/>
              </w:rPr>
              <w:t>165</w:t>
            </w:r>
          </w:p>
        </w:tc>
        <w:tc>
          <w:tcPr>
            <w:tcW w:w="2153" w:type="dxa"/>
            <w:tcBorders>
              <w:top w:val="nil"/>
              <w:left w:val="nil"/>
              <w:bottom w:val="single" w:sz="4" w:space="0" w:color="auto"/>
              <w:right w:val="single" w:sz="4" w:space="0" w:color="auto"/>
            </w:tcBorders>
            <w:shd w:val="clear" w:color="000000" w:fill="FFFFFF"/>
            <w:vAlign w:val="center"/>
          </w:tcPr>
          <w:p w14:paraId="66437282" w14:textId="2EEAE1BF" w:rsidR="00F95755" w:rsidRPr="00470781" w:rsidRDefault="00F95755" w:rsidP="00470781">
            <w:pPr>
              <w:spacing w:after="0" w:line="240" w:lineRule="auto"/>
              <w:rPr>
                <w:rFonts w:ascii="Times New Roman" w:hAnsi="Times New Roman"/>
                <w:sz w:val="18"/>
                <w:szCs w:val="18"/>
              </w:rPr>
            </w:pPr>
            <w:r>
              <w:rPr>
                <w:rFonts w:ascii="Times New Roman" w:hAnsi="Times New Roman"/>
                <w:sz w:val="18"/>
                <w:szCs w:val="18"/>
              </w:rPr>
              <w:t>Potraživanje za upravne i administrativne pristojbe</w:t>
            </w:r>
          </w:p>
        </w:tc>
        <w:tc>
          <w:tcPr>
            <w:tcW w:w="1186" w:type="dxa"/>
            <w:tcBorders>
              <w:top w:val="nil"/>
              <w:left w:val="nil"/>
              <w:bottom w:val="single" w:sz="4" w:space="0" w:color="auto"/>
              <w:right w:val="single" w:sz="4" w:space="0" w:color="auto"/>
            </w:tcBorders>
            <w:shd w:val="clear" w:color="000000" w:fill="FFFFFF"/>
            <w:vAlign w:val="center"/>
          </w:tcPr>
          <w:p w14:paraId="448CE248" w14:textId="1B9F98BF" w:rsidR="00F95755" w:rsidRDefault="00F95755" w:rsidP="00470781">
            <w:pPr>
              <w:spacing w:after="0" w:line="240" w:lineRule="auto"/>
              <w:jc w:val="right"/>
              <w:rPr>
                <w:rFonts w:ascii="Times New Roman" w:hAnsi="Times New Roman"/>
                <w:sz w:val="18"/>
                <w:szCs w:val="18"/>
              </w:rPr>
            </w:pPr>
            <w:r>
              <w:rPr>
                <w:rFonts w:ascii="Times New Roman" w:hAnsi="Times New Roman"/>
                <w:sz w:val="18"/>
                <w:szCs w:val="18"/>
              </w:rPr>
              <w:t>130.237,88</w:t>
            </w:r>
          </w:p>
        </w:tc>
        <w:tc>
          <w:tcPr>
            <w:tcW w:w="941" w:type="dxa"/>
            <w:tcBorders>
              <w:top w:val="nil"/>
              <w:left w:val="nil"/>
              <w:bottom w:val="single" w:sz="4" w:space="0" w:color="auto"/>
              <w:right w:val="single" w:sz="4" w:space="0" w:color="auto"/>
            </w:tcBorders>
            <w:shd w:val="clear" w:color="000000" w:fill="FFFFFF"/>
            <w:vAlign w:val="center"/>
          </w:tcPr>
          <w:p w14:paraId="6BD1C410" w14:textId="268D0F14" w:rsidR="00F95755" w:rsidRPr="00470781" w:rsidRDefault="006F20D2" w:rsidP="00470781">
            <w:pPr>
              <w:spacing w:after="0" w:line="240" w:lineRule="auto"/>
              <w:jc w:val="right"/>
              <w:rPr>
                <w:rFonts w:ascii="Times New Roman" w:hAnsi="Times New Roman"/>
                <w:sz w:val="18"/>
                <w:szCs w:val="18"/>
              </w:rPr>
            </w:pPr>
            <w:r>
              <w:rPr>
                <w:rFonts w:ascii="Times New Roman" w:hAnsi="Times New Roman"/>
                <w:sz w:val="18"/>
                <w:szCs w:val="18"/>
              </w:rPr>
              <w:t>128.349,43</w:t>
            </w:r>
          </w:p>
        </w:tc>
        <w:tc>
          <w:tcPr>
            <w:tcW w:w="1134" w:type="dxa"/>
            <w:tcBorders>
              <w:top w:val="nil"/>
              <w:left w:val="nil"/>
              <w:bottom w:val="single" w:sz="4" w:space="0" w:color="auto"/>
              <w:right w:val="single" w:sz="4" w:space="0" w:color="auto"/>
            </w:tcBorders>
            <w:shd w:val="clear" w:color="000000" w:fill="FFFFFF"/>
            <w:vAlign w:val="center"/>
          </w:tcPr>
          <w:p w14:paraId="695B86D5" w14:textId="06E63CEE" w:rsidR="00F95755" w:rsidRPr="00470781" w:rsidRDefault="006F20D2" w:rsidP="00470781">
            <w:pPr>
              <w:spacing w:after="0" w:line="240" w:lineRule="auto"/>
              <w:jc w:val="right"/>
              <w:rPr>
                <w:rFonts w:ascii="Times New Roman" w:hAnsi="Times New Roman"/>
                <w:sz w:val="18"/>
                <w:szCs w:val="18"/>
              </w:rPr>
            </w:pPr>
            <w:r>
              <w:rPr>
                <w:rFonts w:ascii="Times New Roman" w:hAnsi="Times New Roman"/>
                <w:sz w:val="18"/>
                <w:szCs w:val="18"/>
              </w:rPr>
              <w:t>1.888,45</w:t>
            </w:r>
          </w:p>
        </w:tc>
        <w:tc>
          <w:tcPr>
            <w:tcW w:w="1275" w:type="dxa"/>
            <w:tcBorders>
              <w:top w:val="nil"/>
              <w:left w:val="nil"/>
              <w:bottom w:val="single" w:sz="4" w:space="0" w:color="auto"/>
              <w:right w:val="single" w:sz="4" w:space="0" w:color="auto"/>
            </w:tcBorders>
            <w:shd w:val="clear" w:color="000000" w:fill="FFFFFF"/>
            <w:vAlign w:val="center"/>
          </w:tcPr>
          <w:p w14:paraId="77507E4E" w14:textId="1A45E9BF" w:rsidR="00F95755" w:rsidRPr="00470781" w:rsidRDefault="002310DA" w:rsidP="00470781">
            <w:pPr>
              <w:spacing w:after="0" w:line="240" w:lineRule="auto"/>
              <w:jc w:val="right"/>
              <w:rPr>
                <w:rFonts w:ascii="Times New Roman" w:hAnsi="Times New Roman"/>
                <w:sz w:val="18"/>
                <w:szCs w:val="18"/>
              </w:rPr>
            </w:pPr>
            <w:r>
              <w:rPr>
                <w:rFonts w:ascii="Times New Roman" w:hAnsi="Times New Roman"/>
                <w:sz w:val="18"/>
                <w:szCs w:val="18"/>
              </w:rPr>
              <w:t>30.655,72</w:t>
            </w:r>
          </w:p>
        </w:tc>
        <w:tc>
          <w:tcPr>
            <w:tcW w:w="1843" w:type="dxa"/>
            <w:tcBorders>
              <w:top w:val="nil"/>
              <w:left w:val="nil"/>
              <w:bottom w:val="single" w:sz="4" w:space="0" w:color="auto"/>
              <w:right w:val="single" w:sz="4" w:space="0" w:color="auto"/>
            </w:tcBorders>
            <w:shd w:val="clear" w:color="000000" w:fill="FFFFFF"/>
            <w:vAlign w:val="center"/>
          </w:tcPr>
          <w:p w14:paraId="660A69E0" w14:textId="693A59B3" w:rsidR="00F95755" w:rsidRPr="00470781" w:rsidRDefault="006E1A0A" w:rsidP="00470781">
            <w:pPr>
              <w:spacing w:after="0" w:line="240" w:lineRule="auto"/>
              <w:jc w:val="right"/>
              <w:rPr>
                <w:rFonts w:ascii="Times New Roman" w:hAnsi="Times New Roman"/>
                <w:sz w:val="18"/>
                <w:szCs w:val="18"/>
              </w:rPr>
            </w:pPr>
            <w:r>
              <w:rPr>
                <w:rFonts w:ascii="Times New Roman" w:hAnsi="Times New Roman"/>
                <w:sz w:val="18"/>
                <w:szCs w:val="18"/>
              </w:rPr>
              <w:t>99.582,16</w:t>
            </w:r>
          </w:p>
        </w:tc>
      </w:tr>
      <w:tr w:rsidR="00F95755" w:rsidRPr="00470781" w14:paraId="50032DED" w14:textId="77777777" w:rsidTr="00470781">
        <w:trPr>
          <w:trHeight w:val="419"/>
        </w:trPr>
        <w:tc>
          <w:tcPr>
            <w:tcW w:w="961" w:type="dxa"/>
            <w:tcBorders>
              <w:top w:val="nil"/>
              <w:left w:val="single" w:sz="4" w:space="0" w:color="auto"/>
              <w:bottom w:val="single" w:sz="4" w:space="0" w:color="auto"/>
              <w:right w:val="single" w:sz="4" w:space="0" w:color="auto"/>
            </w:tcBorders>
            <w:shd w:val="clear" w:color="000000" w:fill="FFFFFF"/>
            <w:vAlign w:val="center"/>
          </w:tcPr>
          <w:p w14:paraId="4CB97654" w14:textId="14E0447F" w:rsidR="00F95755" w:rsidRDefault="00F95755" w:rsidP="00470781">
            <w:pPr>
              <w:spacing w:after="0" w:line="240" w:lineRule="auto"/>
              <w:jc w:val="center"/>
              <w:rPr>
                <w:rFonts w:ascii="Times New Roman" w:hAnsi="Times New Roman"/>
                <w:sz w:val="18"/>
                <w:szCs w:val="18"/>
              </w:rPr>
            </w:pPr>
            <w:r>
              <w:rPr>
                <w:rFonts w:ascii="Times New Roman" w:hAnsi="Times New Roman"/>
                <w:sz w:val="18"/>
                <w:szCs w:val="18"/>
              </w:rPr>
              <w:lastRenderedPageBreak/>
              <w:t>168</w:t>
            </w:r>
          </w:p>
        </w:tc>
        <w:tc>
          <w:tcPr>
            <w:tcW w:w="2153" w:type="dxa"/>
            <w:tcBorders>
              <w:top w:val="nil"/>
              <w:left w:val="nil"/>
              <w:bottom w:val="single" w:sz="4" w:space="0" w:color="auto"/>
              <w:right w:val="single" w:sz="4" w:space="0" w:color="auto"/>
            </w:tcBorders>
            <w:shd w:val="clear" w:color="000000" w:fill="FFFFFF"/>
            <w:vAlign w:val="center"/>
          </w:tcPr>
          <w:p w14:paraId="01FD5660" w14:textId="2DA1A86A" w:rsidR="00F95755" w:rsidRDefault="00F95755" w:rsidP="00470781">
            <w:pPr>
              <w:spacing w:after="0" w:line="240" w:lineRule="auto"/>
              <w:rPr>
                <w:rFonts w:ascii="Times New Roman" w:hAnsi="Times New Roman"/>
                <w:sz w:val="18"/>
                <w:szCs w:val="18"/>
              </w:rPr>
            </w:pPr>
            <w:r>
              <w:rPr>
                <w:rFonts w:ascii="Times New Roman" w:hAnsi="Times New Roman"/>
                <w:sz w:val="18"/>
                <w:szCs w:val="18"/>
              </w:rPr>
              <w:t>Potraživanje za kazne i upravne mjere te ostale prihode</w:t>
            </w:r>
          </w:p>
        </w:tc>
        <w:tc>
          <w:tcPr>
            <w:tcW w:w="1186" w:type="dxa"/>
            <w:tcBorders>
              <w:top w:val="nil"/>
              <w:left w:val="nil"/>
              <w:bottom w:val="single" w:sz="4" w:space="0" w:color="auto"/>
              <w:right w:val="single" w:sz="4" w:space="0" w:color="auto"/>
            </w:tcBorders>
            <w:shd w:val="clear" w:color="000000" w:fill="FFFFFF"/>
            <w:vAlign w:val="center"/>
          </w:tcPr>
          <w:p w14:paraId="6EE75CE4" w14:textId="48134035" w:rsidR="00F95755" w:rsidRDefault="00F95755" w:rsidP="00470781">
            <w:pPr>
              <w:spacing w:after="0" w:line="240" w:lineRule="auto"/>
              <w:jc w:val="right"/>
              <w:rPr>
                <w:rFonts w:ascii="Times New Roman" w:hAnsi="Times New Roman"/>
                <w:sz w:val="18"/>
                <w:szCs w:val="18"/>
              </w:rPr>
            </w:pPr>
            <w:r>
              <w:rPr>
                <w:rFonts w:ascii="Times New Roman" w:hAnsi="Times New Roman"/>
                <w:sz w:val="18"/>
                <w:szCs w:val="18"/>
              </w:rPr>
              <w:t>831,20</w:t>
            </w:r>
          </w:p>
        </w:tc>
        <w:tc>
          <w:tcPr>
            <w:tcW w:w="941" w:type="dxa"/>
            <w:tcBorders>
              <w:top w:val="nil"/>
              <w:left w:val="nil"/>
              <w:bottom w:val="single" w:sz="4" w:space="0" w:color="auto"/>
              <w:right w:val="single" w:sz="4" w:space="0" w:color="auto"/>
            </w:tcBorders>
            <w:shd w:val="clear" w:color="000000" w:fill="FFFFFF"/>
            <w:vAlign w:val="center"/>
          </w:tcPr>
          <w:p w14:paraId="3CE383A0" w14:textId="02C15A4E" w:rsidR="00F95755"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831,20</w:t>
            </w:r>
          </w:p>
        </w:tc>
        <w:tc>
          <w:tcPr>
            <w:tcW w:w="1134" w:type="dxa"/>
            <w:tcBorders>
              <w:top w:val="nil"/>
              <w:left w:val="nil"/>
              <w:bottom w:val="single" w:sz="4" w:space="0" w:color="auto"/>
              <w:right w:val="single" w:sz="4" w:space="0" w:color="auto"/>
            </w:tcBorders>
            <w:shd w:val="clear" w:color="000000" w:fill="FFFFFF"/>
            <w:vAlign w:val="center"/>
          </w:tcPr>
          <w:p w14:paraId="7F3D7826" w14:textId="70388CA9" w:rsidR="00F95755"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0,00</w:t>
            </w:r>
          </w:p>
        </w:tc>
        <w:tc>
          <w:tcPr>
            <w:tcW w:w="1275" w:type="dxa"/>
            <w:tcBorders>
              <w:top w:val="nil"/>
              <w:left w:val="nil"/>
              <w:bottom w:val="single" w:sz="4" w:space="0" w:color="auto"/>
              <w:right w:val="single" w:sz="4" w:space="0" w:color="auto"/>
            </w:tcBorders>
            <w:shd w:val="clear" w:color="000000" w:fill="FFFFFF"/>
            <w:vAlign w:val="center"/>
          </w:tcPr>
          <w:p w14:paraId="743740A3" w14:textId="3F19599F" w:rsidR="00F95755" w:rsidRPr="00470781" w:rsidRDefault="003D5FE1" w:rsidP="00470781">
            <w:pPr>
              <w:spacing w:after="0" w:line="240" w:lineRule="auto"/>
              <w:jc w:val="right"/>
              <w:rPr>
                <w:rFonts w:ascii="Times New Roman" w:hAnsi="Times New Roman"/>
                <w:sz w:val="18"/>
                <w:szCs w:val="18"/>
              </w:rPr>
            </w:pPr>
            <w:r>
              <w:rPr>
                <w:rFonts w:ascii="Times New Roman" w:hAnsi="Times New Roman"/>
                <w:sz w:val="18"/>
                <w:szCs w:val="18"/>
              </w:rPr>
              <w:t>831,20</w:t>
            </w:r>
          </w:p>
        </w:tc>
        <w:tc>
          <w:tcPr>
            <w:tcW w:w="1843" w:type="dxa"/>
            <w:tcBorders>
              <w:top w:val="nil"/>
              <w:left w:val="nil"/>
              <w:bottom w:val="single" w:sz="4" w:space="0" w:color="auto"/>
              <w:right w:val="single" w:sz="4" w:space="0" w:color="auto"/>
            </w:tcBorders>
            <w:shd w:val="clear" w:color="000000" w:fill="FFFFFF"/>
            <w:vAlign w:val="center"/>
          </w:tcPr>
          <w:p w14:paraId="06B7B0B8" w14:textId="515644C1" w:rsidR="00F95755" w:rsidRPr="00470781" w:rsidRDefault="006E1A0A" w:rsidP="00470781">
            <w:pPr>
              <w:spacing w:after="0" w:line="240" w:lineRule="auto"/>
              <w:jc w:val="right"/>
              <w:rPr>
                <w:rFonts w:ascii="Times New Roman" w:hAnsi="Times New Roman"/>
                <w:sz w:val="18"/>
                <w:szCs w:val="18"/>
              </w:rPr>
            </w:pPr>
            <w:r>
              <w:rPr>
                <w:rFonts w:ascii="Times New Roman" w:hAnsi="Times New Roman"/>
                <w:sz w:val="18"/>
                <w:szCs w:val="18"/>
              </w:rPr>
              <w:t>0,00</w:t>
            </w:r>
          </w:p>
        </w:tc>
      </w:tr>
      <w:tr w:rsidR="00F95755" w:rsidRPr="00470781" w14:paraId="11160B7D" w14:textId="77777777" w:rsidTr="00470781">
        <w:trPr>
          <w:trHeight w:val="419"/>
        </w:trPr>
        <w:tc>
          <w:tcPr>
            <w:tcW w:w="961" w:type="dxa"/>
            <w:tcBorders>
              <w:top w:val="nil"/>
              <w:left w:val="single" w:sz="4" w:space="0" w:color="auto"/>
              <w:bottom w:val="single" w:sz="4" w:space="0" w:color="auto"/>
              <w:right w:val="single" w:sz="4" w:space="0" w:color="auto"/>
            </w:tcBorders>
            <w:shd w:val="clear" w:color="000000" w:fill="FFFFFF"/>
            <w:vAlign w:val="center"/>
          </w:tcPr>
          <w:p w14:paraId="7AA0F930" w14:textId="72323907" w:rsidR="00F95755" w:rsidRDefault="00F95755" w:rsidP="00470781">
            <w:pPr>
              <w:spacing w:after="0" w:line="240" w:lineRule="auto"/>
              <w:jc w:val="center"/>
              <w:rPr>
                <w:rFonts w:ascii="Times New Roman" w:hAnsi="Times New Roman"/>
                <w:sz w:val="18"/>
                <w:szCs w:val="18"/>
              </w:rPr>
            </w:pPr>
            <w:r>
              <w:rPr>
                <w:rFonts w:ascii="Times New Roman" w:hAnsi="Times New Roman"/>
                <w:sz w:val="18"/>
                <w:szCs w:val="18"/>
              </w:rPr>
              <w:t>171</w:t>
            </w:r>
          </w:p>
        </w:tc>
        <w:tc>
          <w:tcPr>
            <w:tcW w:w="2153" w:type="dxa"/>
            <w:tcBorders>
              <w:top w:val="nil"/>
              <w:left w:val="nil"/>
              <w:bottom w:val="single" w:sz="4" w:space="0" w:color="auto"/>
              <w:right w:val="single" w:sz="4" w:space="0" w:color="auto"/>
            </w:tcBorders>
            <w:shd w:val="clear" w:color="000000" w:fill="FFFFFF"/>
            <w:vAlign w:val="center"/>
          </w:tcPr>
          <w:p w14:paraId="0C848F91" w14:textId="2B50F403" w:rsidR="00F95755" w:rsidRDefault="00F95755" w:rsidP="00470781">
            <w:pPr>
              <w:spacing w:after="0" w:line="240" w:lineRule="auto"/>
              <w:rPr>
                <w:rFonts w:ascii="Times New Roman" w:hAnsi="Times New Roman"/>
                <w:sz w:val="18"/>
                <w:szCs w:val="18"/>
              </w:rPr>
            </w:pPr>
            <w:r w:rsidRPr="00470781">
              <w:rPr>
                <w:rFonts w:ascii="Times New Roman" w:hAnsi="Times New Roman"/>
                <w:sz w:val="18"/>
                <w:szCs w:val="18"/>
              </w:rPr>
              <w:t xml:space="preserve">Potraživanja od prodaje </w:t>
            </w:r>
            <w:r>
              <w:rPr>
                <w:rFonts w:ascii="Times New Roman" w:hAnsi="Times New Roman"/>
                <w:sz w:val="18"/>
                <w:szCs w:val="18"/>
              </w:rPr>
              <w:t>ne</w:t>
            </w:r>
            <w:r w:rsidRPr="00470781">
              <w:rPr>
                <w:rFonts w:ascii="Times New Roman" w:hAnsi="Times New Roman"/>
                <w:sz w:val="18"/>
                <w:szCs w:val="18"/>
              </w:rPr>
              <w:t>proizvedene dugotrajne imovine</w:t>
            </w:r>
          </w:p>
        </w:tc>
        <w:tc>
          <w:tcPr>
            <w:tcW w:w="1186" w:type="dxa"/>
            <w:tcBorders>
              <w:top w:val="nil"/>
              <w:left w:val="nil"/>
              <w:bottom w:val="single" w:sz="4" w:space="0" w:color="auto"/>
              <w:right w:val="single" w:sz="4" w:space="0" w:color="auto"/>
            </w:tcBorders>
            <w:shd w:val="clear" w:color="000000" w:fill="FFFFFF"/>
            <w:vAlign w:val="center"/>
          </w:tcPr>
          <w:p w14:paraId="54845B28" w14:textId="1FDACFF9" w:rsidR="00F95755" w:rsidRDefault="00F95755" w:rsidP="00470781">
            <w:pPr>
              <w:spacing w:after="0" w:line="240" w:lineRule="auto"/>
              <w:jc w:val="right"/>
              <w:rPr>
                <w:rFonts w:ascii="Times New Roman" w:hAnsi="Times New Roman"/>
                <w:sz w:val="18"/>
                <w:szCs w:val="18"/>
              </w:rPr>
            </w:pPr>
            <w:r>
              <w:rPr>
                <w:rFonts w:ascii="Times New Roman" w:hAnsi="Times New Roman"/>
                <w:sz w:val="18"/>
                <w:szCs w:val="18"/>
              </w:rPr>
              <w:t>567,55</w:t>
            </w:r>
          </w:p>
        </w:tc>
        <w:tc>
          <w:tcPr>
            <w:tcW w:w="941" w:type="dxa"/>
            <w:tcBorders>
              <w:top w:val="nil"/>
              <w:left w:val="nil"/>
              <w:bottom w:val="single" w:sz="4" w:space="0" w:color="auto"/>
              <w:right w:val="single" w:sz="4" w:space="0" w:color="auto"/>
            </w:tcBorders>
            <w:shd w:val="clear" w:color="000000" w:fill="FFFFFF"/>
            <w:vAlign w:val="center"/>
          </w:tcPr>
          <w:p w14:paraId="74A9F12F" w14:textId="103C5622" w:rsidR="00F95755"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371,61</w:t>
            </w:r>
          </w:p>
        </w:tc>
        <w:tc>
          <w:tcPr>
            <w:tcW w:w="1134" w:type="dxa"/>
            <w:tcBorders>
              <w:top w:val="nil"/>
              <w:left w:val="nil"/>
              <w:bottom w:val="single" w:sz="4" w:space="0" w:color="auto"/>
              <w:right w:val="single" w:sz="4" w:space="0" w:color="auto"/>
            </w:tcBorders>
            <w:shd w:val="clear" w:color="000000" w:fill="FFFFFF"/>
            <w:vAlign w:val="center"/>
          </w:tcPr>
          <w:p w14:paraId="3696883E" w14:textId="40AE5ADE" w:rsidR="00F95755"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195,94</w:t>
            </w:r>
          </w:p>
        </w:tc>
        <w:tc>
          <w:tcPr>
            <w:tcW w:w="1275" w:type="dxa"/>
            <w:tcBorders>
              <w:top w:val="nil"/>
              <w:left w:val="nil"/>
              <w:bottom w:val="single" w:sz="4" w:space="0" w:color="auto"/>
              <w:right w:val="single" w:sz="4" w:space="0" w:color="auto"/>
            </w:tcBorders>
            <w:shd w:val="clear" w:color="000000" w:fill="FFFFFF"/>
            <w:vAlign w:val="center"/>
          </w:tcPr>
          <w:p w14:paraId="47F58937" w14:textId="516BDEC8" w:rsidR="00F95755" w:rsidRPr="00470781" w:rsidRDefault="003D5FE1" w:rsidP="00470781">
            <w:pPr>
              <w:spacing w:after="0" w:line="240" w:lineRule="auto"/>
              <w:jc w:val="right"/>
              <w:rPr>
                <w:rFonts w:ascii="Times New Roman" w:hAnsi="Times New Roman"/>
                <w:sz w:val="18"/>
                <w:szCs w:val="18"/>
              </w:rPr>
            </w:pPr>
            <w:r>
              <w:rPr>
                <w:rFonts w:ascii="Times New Roman" w:hAnsi="Times New Roman"/>
                <w:sz w:val="18"/>
                <w:szCs w:val="18"/>
              </w:rPr>
              <w:t>371,61</w:t>
            </w:r>
          </w:p>
        </w:tc>
        <w:tc>
          <w:tcPr>
            <w:tcW w:w="1843" w:type="dxa"/>
            <w:tcBorders>
              <w:top w:val="nil"/>
              <w:left w:val="nil"/>
              <w:bottom w:val="single" w:sz="4" w:space="0" w:color="auto"/>
              <w:right w:val="single" w:sz="4" w:space="0" w:color="auto"/>
            </w:tcBorders>
            <w:shd w:val="clear" w:color="000000" w:fill="FFFFFF"/>
            <w:vAlign w:val="center"/>
          </w:tcPr>
          <w:p w14:paraId="319DE2E4" w14:textId="00DAC1B5" w:rsidR="00F95755" w:rsidRPr="00470781" w:rsidRDefault="006E1A0A" w:rsidP="00470781">
            <w:pPr>
              <w:spacing w:after="0" w:line="240" w:lineRule="auto"/>
              <w:jc w:val="right"/>
              <w:rPr>
                <w:rFonts w:ascii="Times New Roman" w:hAnsi="Times New Roman"/>
                <w:sz w:val="18"/>
                <w:szCs w:val="18"/>
              </w:rPr>
            </w:pPr>
            <w:r>
              <w:rPr>
                <w:rFonts w:ascii="Times New Roman" w:hAnsi="Times New Roman"/>
                <w:sz w:val="18"/>
                <w:szCs w:val="18"/>
              </w:rPr>
              <w:t>195,94</w:t>
            </w:r>
          </w:p>
        </w:tc>
      </w:tr>
      <w:tr w:rsidR="00470781" w:rsidRPr="00470781" w14:paraId="34502B40" w14:textId="77777777" w:rsidTr="00470781">
        <w:trPr>
          <w:trHeight w:val="570"/>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2FD32534" w14:textId="77777777" w:rsidR="00470781" w:rsidRPr="00470781" w:rsidRDefault="00470781" w:rsidP="00470781">
            <w:pPr>
              <w:spacing w:after="0" w:line="240" w:lineRule="auto"/>
              <w:jc w:val="center"/>
              <w:rPr>
                <w:rFonts w:ascii="Times New Roman" w:hAnsi="Times New Roman"/>
                <w:sz w:val="18"/>
                <w:szCs w:val="18"/>
              </w:rPr>
            </w:pPr>
            <w:r w:rsidRPr="00470781">
              <w:rPr>
                <w:rFonts w:ascii="Times New Roman" w:hAnsi="Times New Roman"/>
                <w:sz w:val="18"/>
                <w:szCs w:val="18"/>
              </w:rPr>
              <w:t>172</w:t>
            </w:r>
          </w:p>
        </w:tc>
        <w:tc>
          <w:tcPr>
            <w:tcW w:w="2153" w:type="dxa"/>
            <w:tcBorders>
              <w:top w:val="nil"/>
              <w:left w:val="nil"/>
              <w:bottom w:val="single" w:sz="4" w:space="0" w:color="auto"/>
              <w:right w:val="single" w:sz="4" w:space="0" w:color="auto"/>
            </w:tcBorders>
            <w:shd w:val="clear" w:color="000000" w:fill="FFFFFF"/>
            <w:vAlign w:val="center"/>
            <w:hideMark/>
          </w:tcPr>
          <w:p w14:paraId="5246FAAE" w14:textId="77777777" w:rsidR="00470781" w:rsidRPr="00470781" w:rsidRDefault="00470781" w:rsidP="00470781">
            <w:pPr>
              <w:spacing w:after="0" w:line="240" w:lineRule="auto"/>
              <w:rPr>
                <w:rFonts w:ascii="Times New Roman" w:hAnsi="Times New Roman"/>
                <w:sz w:val="18"/>
                <w:szCs w:val="18"/>
              </w:rPr>
            </w:pPr>
            <w:r w:rsidRPr="00470781">
              <w:rPr>
                <w:rFonts w:ascii="Times New Roman" w:hAnsi="Times New Roman"/>
                <w:sz w:val="18"/>
                <w:szCs w:val="18"/>
              </w:rPr>
              <w:t>Potraživanja od prodaje proizvedene dugotrajne imovine</w:t>
            </w:r>
          </w:p>
        </w:tc>
        <w:tc>
          <w:tcPr>
            <w:tcW w:w="1186" w:type="dxa"/>
            <w:tcBorders>
              <w:top w:val="nil"/>
              <w:left w:val="nil"/>
              <w:bottom w:val="single" w:sz="4" w:space="0" w:color="auto"/>
              <w:right w:val="single" w:sz="4" w:space="0" w:color="auto"/>
            </w:tcBorders>
            <w:shd w:val="clear" w:color="000000" w:fill="FFFFFF"/>
            <w:vAlign w:val="center"/>
            <w:hideMark/>
          </w:tcPr>
          <w:p w14:paraId="080BC74C" w14:textId="75A647A9" w:rsidR="00470781" w:rsidRPr="00470781" w:rsidRDefault="00470781" w:rsidP="00470781">
            <w:pPr>
              <w:spacing w:after="0" w:line="240" w:lineRule="auto"/>
              <w:jc w:val="right"/>
              <w:rPr>
                <w:rFonts w:ascii="Times New Roman" w:hAnsi="Times New Roman"/>
                <w:sz w:val="18"/>
                <w:szCs w:val="18"/>
              </w:rPr>
            </w:pPr>
            <w:r w:rsidRPr="00470781">
              <w:rPr>
                <w:rFonts w:ascii="Times New Roman" w:hAnsi="Times New Roman"/>
                <w:sz w:val="18"/>
                <w:szCs w:val="18"/>
              </w:rPr>
              <w:t> </w:t>
            </w:r>
            <w:r w:rsidR="00F95755">
              <w:rPr>
                <w:rFonts w:ascii="Times New Roman" w:hAnsi="Times New Roman"/>
                <w:sz w:val="18"/>
                <w:szCs w:val="18"/>
              </w:rPr>
              <w:t>51.407,88</w:t>
            </w:r>
          </w:p>
        </w:tc>
        <w:tc>
          <w:tcPr>
            <w:tcW w:w="941" w:type="dxa"/>
            <w:tcBorders>
              <w:top w:val="nil"/>
              <w:left w:val="nil"/>
              <w:bottom w:val="single" w:sz="4" w:space="0" w:color="auto"/>
              <w:right w:val="single" w:sz="4" w:space="0" w:color="auto"/>
            </w:tcBorders>
            <w:shd w:val="clear" w:color="000000" w:fill="FFFFFF"/>
            <w:vAlign w:val="center"/>
            <w:hideMark/>
          </w:tcPr>
          <w:p w14:paraId="46E9592B" w14:textId="79DAB3F9" w:rsidR="00470781" w:rsidRPr="00470781" w:rsidRDefault="00F95755" w:rsidP="00470781">
            <w:pPr>
              <w:spacing w:after="0" w:line="240" w:lineRule="auto"/>
              <w:jc w:val="right"/>
              <w:rPr>
                <w:rFonts w:ascii="Times New Roman" w:hAnsi="Times New Roman"/>
                <w:sz w:val="18"/>
                <w:szCs w:val="18"/>
              </w:rPr>
            </w:pPr>
            <w:r w:rsidRPr="00470781">
              <w:rPr>
                <w:rFonts w:ascii="Times New Roman" w:hAnsi="Times New Roman"/>
                <w:sz w:val="18"/>
                <w:szCs w:val="18"/>
              </w:rPr>
              <w:t> </w:t>
            </w:r>
            <w:r>
              <w:rPr>
                <w:rFonts w:ascii="Times New Roman" w:hAnsi="Times New Roman"/>
                <w:sz w:val="18"/>
                <w:szCs w:val="18"/>
              </w:rPr>
              <w:t>51.407,88</w:t>
            </w:r>
            <w:r w:rsidR="00470781" w:rsidRPr="00470781">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010EA70F" w14:textId="5EFB7C16" w:rsidR="00470781" w:rsidRPr="00470781" w:rsidRDefault="00F95755" w:rsidP="00470781">
            <w:pPr>
              <w:spacing w:after="0" w:line="240" w:lineRule="auto"/>
              <w:jc w:val="right"/>
              <w:rPr>
                <w:rFonts w:ascii="Times New Roman" w:hAnsi="Times New Roman"/>
                <w:sz w:val="18"/>
                <w:szCs w:val="18"/>
              </w:rPr>
            </w:pPr>
            <w:r>
              <w:rPr>
                <w:rFonts w:ascii="Times New Roman" w:hAnsi="Times New Roman"/>
                <w:sz w:val="18"/>
                <w:szCs w:val="18"/>
              </w:rPr>
              <w:t>0,00</w:t>
            </w:r>
            <w:r w:rsidR="00470781" w:rsidRPr="00470781">
              <w:rPr>
                <w:rFonts w:ascii="Times New Roman" w:hAnsi="Times New Roman"/>
                <w:sz w:val="18"/>
                <w:szCs w:val="18"/>
              </w:rPr>
              <w:t> </w:t>
            </w:r>
          </w:p>
        </w:tc>
        <w:tc>
          <w:tcPr>
            <w:tcW w:w="1275" w:type="dxa"/>
            <w:tcBorders>
              <w:top w:val="nil"/>
              <w:left w:val="nil"/>
              <w:bottom w:val="single" w:sz="4" w:space="0" w:color="auto"/>
              <w:right w:val="single" w:sz="4" w:space="0" w:color="auto"/>
            </w:tcBorders>
            <w:shd w:val="clear" w:color="000000" w:fill="FFFFFF"/>
            <w:vAlign w:val="center"/>
            <w:hideMark/>
          </w:tcPr>
          <w:p w14:paraId="2A2B9529" w14:textId="49B0C329" w:rsidR="00470781" w:rsidRPr="00470781" w:rsidRDefault="003D5FE1" w:rsidP="00470781">
            <w:pPr>
              <w:spacing w:after="0" w:line="240" w:lineRule="auto"/>
              <w:jc w:val="right"/>
              <w:rPr>
                <w:rFonts w:ascii="Times New Roman" w:hAnsi="Times New Roman"/>
                <w:sz w:val="18"/>
                <w:szCs w:val="18"/>
              </w:rPr>
            </w:pPr>
            <w:r>
              <w:rPr>
                <w:rFonts w:ascii="Times New Roman" w:hAnsi="Times New Roman"/>
                <w:sz w:val="18"/>
                <w:szCs w:val="18"/>
              </w:rPr>
              <w:t>44.563,01</w:t>
            </w:r>
            <w:r w:rsidR="00470781" w:rsidRPr="00470781">
              <w:rPr>
                <w:rFonts w:ascii="Times New Roman" w:hAnsi="Times New Roman"/>
                <w:sz w:val="18"/>
                <w:szCs w:val="18"/>
              </w:rPr>
              <w:t> </w:t>
            </w:r>
          </w:p>
        </w:tc>
        <w:tc>
          <w:tcPr>
            <w:tcW w:w="1843" w:type="dxa"/>
            <w:tcBorders>
              <w:top w:val="nil"/>
              <w:left w:val="nil"/>
              <w:bottom w:val="single" w:sz="4" w:space="0" w:color="auto"/>
              <w:right w:val="single" w:sz="4" w:space="0" w:color="auto"/>
            </w:tcBorders>
            <w:shd w:val="clear" w:color="000000" w:fill="FFFFFF"/>
            <w:vAlign w:val="center"/>
            <w:hideMark/>
          </w:tcPr>
          <w:p w14:paraId="65060DE6" w14:textId="5C297CAF" w:rsidR="00470781" w:rsidRPr="00470781" w:rsidRDefault="00990973" w:rsidP="00470781">
            <w:pPr>
              <w:spacing w:after="0" w:line="240" w:lineRule="auto"/>
              <w:jc w:val="right"/>
              <w:rPr>
                <w:rFonts w:ascii="Times New Roman" w:hAnsi="Times New Roman"/>
                <w:sz w:val="18"/>
                <w:szCs w:val="18"/>
              </w:rPr>
            </w:pPr>
            <w:r>
              <w:rPr>
                <w:rFonts w:ascii="Times New Roman" w:hAnsi="Times New Roman"/>
                <w:sz w:val="18"/>
                <w:szCs w:val="18"/>
              </w:rPr>
              <w:t>6.844,87</w:t>
            </w:r>
            <w:r w:rsidR="00470781" w:rsidRPr="00470781">
              <w:rPr>
                <w:rFonts w:ascii="Times New Roman" w:hAnsi="Times New Roman"/>
                <w:sz w:val="18"/>
                <w:szCs w:val="18"/>
              </w:rPr>
              <w:t> </w:t>
            </w:r>
          </w:p>
        </w:tc>
      </w:tr>
    </w:tbl>
    <w:p w14:paraId="461B220E" w14:textId="77777777" w:rsidR="00E35ED8" w:rsidRDefault="00E35ED8" w:rsidP="00F77FB1">
      <w:pPr>
        <w:spacing w:after="0" w:line="240" w:lineRule="auto"/>
        <w:rPr>
          <w:rFonts w:ascii="Times New Roman" w:hAnsi="Times New Roman"/>
          <w:b/>
          <w:i/>
        </w:rPr>
      </w:pPr>
    </w:p>
    <w:p w14:paraId="19F6406A" w14:textId="77777777" w:rsidR="00E35ED8" w:rsidRDefault="00E35ED8" w:rsidP="00F77FB1">
      <w:pPr>
        <w:spacing w:after="0" w:line="240" w:lineRule="auto"/>
        <w:rPr>
          <w:rFonts w:ascii="Times New Roman" w:hAnsi="Times New Roman"/>
          <w:b/>
          <w:i/>
        </w:rPr>
      </w:pPr>
    </w:p>
    <w:p w14:paraId="347B6682" w14:textId="77777777" w:rsidR="000470A4" w:rsidRPr="00B31BA7" w:rsidRDefault="000470A4" w:rsidP="00F77FB1">
      <w:pPr>
        <w:spacing w:after="0" w:line="240" w:lineRule="auto"/>
        <w:rPr>
          <w:rFonts w:ascii="Times New Roman" w:hAnsi="Times New Roman"/>
          <w:b/>
          <w:i/>
        </w:rPr>
      </w:pPr>
      <w:r w:rsidRPr="00B31BA7">
        <w:rPr>
          <w:rFonts w:ascii="Times New Roman" w:hAnsi="Times New Roman"/>
          <w:b/>
          <w:i/>
        </w:rPr>
        <w:t>Stanje sudskih sporova</w:t>
      </w:r>
    </w:p>
    <w:p w14:paraId="422698AB" w14:textId="77777777" w:rsidR="00B31BA7" w:rsidRPr="00B31BA7" w:rsidRDefault="00B31BA7" w:rsidP="00B31BA7">
      <w:pPr>
        <w:autoSpaceDE w:val="0"/>
        <w:autoSpaceDN w:val="0"/>
        <w:adjustRightInd w:val="0"/>
        <w:spacing w:after="0" w:line="240" w:lineRule="auto"/>
        <w:jc w:val="both"/>
        <w:rPr>
          <w:rFonts w:ascii="Times New Roman" w:hAnsi="Times New Roman"/>
        </w:rPr>
      </w:pPr>
      <w:r w:rsidRPr="00B31BA7">
        <w:rPr>
          <w:rFonts w:ascii="Times New Roman" w:hAnsi="Times New Roman"/>
        </w:rPr>
        <w:t>Prema podacima Jedinstvenog upravnog odjela, koji vodi evidenciju sudskih sporova u kojima je Općina jedna od stranaka i vrijednosti (potencijalna imovina/obveze Općine) predmeta pojedinog sudskog spora, a za potrebe iskazivanja podatka u izvan bilančnoj evidenciji i ovim Bilješkama, Općina trenutno ima evidentirane sljedeće sudske sporove u tijeku koji bi mogli rezultirati odljevom ili priljevom sredstava:</w:t>
      </w:r>
    </w:p>
    <w:p w14:paraId="5DBBA1D9" w14:textId="77777777" w:rsidR="00B31BA7" w:rsidRPr="00B31BA7" w:rsidRDefault="00B31BA7" w:rsidP="00B31BA7">
      <w:pPr>
        <w:pStyle w:val="ListParagraph"/>
        <w:numPr>
          <w:ilvl w:val="0"/>
          <w:numId w:val="26"/>
        </w:numPr>
        <w:autoSpaceDE w:val="0"/>
        <w:autoSpaceDN w:val="0"/>
        <w:adjustRightInd w:val="0"/>
        <w:spacing w:after="0" w:line="240" w:lineRule="auto"/>
        <w:rPr>
          <w:rFonts w:ascii="Times New Roman" w:hAnsi="Times New Roman"/>
        </w:rPr>
      </w:pPr>
      <w:r w:rsidRPr="00B31BA7">
        <w:rPr>
          <w:rFonts w:ascii="Times New Roman" w:hAnsi="Times New Roman"/>
        </w:rPr>
        <w:t>obveza općine po sporu po osnovi predaje posjeda, vrijednost predmeta spora: 56.006,06 EUR</w:t>
      </w:r>
    </w:p>
    <w:p w14:paraId="023CF7D9" w14:textId="77777777" w:rsidR="00B31BA7" w:rsidRPr="00B31BA7" w:rsidRDefault="00B31BA7" w:rsidP="00B31BA7">
      <w:pPr>
        <w:pStyle w:val="ListParagraph"/>
        <w:numPr>
          <w:ilvl w:val="0"/>
          <w:numId w:val="26"/>
        </w:numPr>
        <w:autoSpaceDE w:val="0"/>
        <w:autoSpaceDN w:val="0"/>
        <w:adjustRightInd w:val="0"/>
        <w:spacing w:after="0" w:line="240" w:lineRule="auto"/>
        <w:rPr>
          <w:rFonts w:ascii="Times New Roman" w:hAnsi="Times New Roman"/>
        </w:rPr>
      </w:pPr>
      <w:r w:rsidRPr="00B31BA7">
        <w:rPr>
          <w:rFonts w:ascii="Times New Roman" w:hAnsi="Times New Roman"/>
        </w:rPr>
        <w:t>potraživanje općine po osnovi zakupa poslovnog prostora, vrijednost predmeta spora: 1.400,00 EUR</w:t>
      </w:r>
    </w:p>
    <w:p w14:paraId="77FCF687" w14:textId="77777777" w:rsidR="00B31BA7" w:rsidRPr="00B31BA7" w:rsidRDefault="00B31BA7" w:rsidP="00B31BA7">
      <w:pPr>
        <w:pStyle w:val="ListParagraph"/>
        <w:numPr>
          <w:ilvl w:val="0"/>
          <w:numId w:val="26"/>
        </w:numPr>
        <w:autoSpaceDE w:val="0"/>
        <w:autoSpaceDN w:val="0"/>
        <w:adjustRightInd w:val="0"/>
        <w:spacing w:after="0" w:line="240" w:lineRule="auto"/>
        <w:rPr>
          <w:rFonts w:ascii="Times New Roman" w:hAnsi="Times New Roman"/>
        </w:rPr>
      </w:pPr>
      <w:r w:rsidRPr="00B31BA7">
        <w:rPr>
          <w:rFonts w:ascii="Times New Roman" w:hAnsi="Times New Roman"/>
        </w:rPr>
        <w:t>potraživanje protustranke prema općini po osnovi ulaganja u poslovni prostor, vrijednost predmeta spora: 56.006,06 EUR</w:t>
      </w:r>
    </w:p>
    <w:p w14:paraId="3E8A89D0" w14:textId="77777777" w:rsidR="00B31BA7" w:rsidRPr="00B31BA7" w:rsidRDefault="00B31BA7" w:rsidP="00B31BA7">
      <w:pPr>
        <w:pStyle w:val="ListParagraph"/>
        <w:numPr>
          <w:ilvl w:val="0"/>
          <w:numId w:val="26"/>
        </w:numPr>
        <w:autoSpaceDE w:val="0"/>
        <w:autoSpaceDN w:val="0"/>
        <w:adjustRightInd w:val="0"/>
        <w:spacing w:after="0" w:line="240" w:lineRule="auto"/>
        <w:jc w:val="both"/>
        <w:rPr>
          <w:rFonts w:ascii="Times New Roman" w:hAnsi="Times New Roman"/>
          <w:b/>
        </w:rPr>
      </w:pPr>
      <w:r w:rsidRPr="00B31BA7">
        <w:rPr>
          <w:rFonts w:ascii="Times New Roman" w:hAnsi="Times New Roman"/>
        </w:rPr>
        <w:t xml:space="preserve">potraživanje općine prema protustranci po osnovi predaje posjeda, vrijednost predmeta spora: 933,00 EUR </w:t>
      </w:r>
    </w:p>
    <w:p w14:paraId="0D3C5F94" w14:textId="77777777" w:rsidR="003C34AF" w:rsidRPr="00B31BA7" w:rsidRDefault="003C34AF" w:rsidP="003C34AF">
      <w:pPr>
        <w:pStyle w:val="ListParagraph"/>
        <w:numPr>
          <w:ilvl w:val="0"/>
          <w:numId w:val="26"/>
        </w:numPr>
        <w:autoSpaceDE w:val="0"/>
        <w:autoSpaceDN w:val="0"/>
        <w:adjustRightInd w:val="0"/>
        <w:spacing w:after="0" w:line="240" w:lineRule="auto"/>
        <w:jc w:val="both"/>
        <w:rPr>
          <w:rFonts w:ascii="Times New Roman" w:hAnsi="Times New Roman"/>
          <w:b/>
        </w:rPr>
      </w:pPr>
      <w:r w:rsidRPr="00B31BA7">
        <w:rPr>
          <w:rFonts w:ascii="Times New Roman" w:hAnsi="Times New Roman"/>
        </w:rPr>
        <w:t xml:space="preserve">potraživanje općine prema protustranci radi razvrgnuća suvlasništva, vrijednost predmeta spora: 1.500,00 EUR </w:t>
      </w:r>
    </w:p>
    <w:p w14:paraId="602B64B0" w14:textId="77777777" w:rsidR="003C34AF" w:rsidRPr="00B31BA7" w:rsidRDefault="003C34AF" w:rsidP="003C34AF">
      <w:pPr>
        <w:pStyle w:val="ListParagraph"/>
        <w:numPr>
          <w:ilvl w:val="0"/>
          <w:numId w:val="26"/>
        </w:numPr>
        <w:autoSpaceDE w:val="0"/>
        <w:autoSpaceDN w:val="0"/>
        <w:adjustRightInd w:val="0"/>
        <w:spacing w:after="0" w:line="240" w:lineRule="auto"/>
        <w:rPr>
          <w:rFonts w:ascii="Times New Roman" w:hAnsi="Times New Roman"/>
        </w:rPr>
      </w:pPr>
      <w:r w:rsidRPr="00B31BA7">
        <w:rPr>
          <w:rFonts w:ascii="Times New Roman" w:hAnsi="Times New Roman"/>
        </w:rPr>
        <w:t>potraživanje protustranke prema općini po osnovi vlasničke tužbe, vrijednost predmeta spora: 550,00 EUR</w:t>
      </w:r>
    </w:p>
    <w:p w14:paraId="18018447" w14:textId="77777777" w:rsidR="003C34AF" w:rsidRPr="003C34AF" w:rsidRDefault="003C34AF" w:rsidP="003C34AF">
      <w:pPr>
        <w:autoSpaceDE w:val="0"/>
        <w:autoSpaceDN w:val="0"/>
        <w:adjustRightInd w:val="0"/>
        <w:spacing w:after="0" w:line="240" w:lineRule="auto"/>
        <w:jc w:val="both"/>
        <w:rPr>
          <w:rFonts w:ascii="Times New Roman" w:hAnsi="Times New Roman"/>
        </w:rPr>
        <w:sectPr w:rsidR="003C34AF" w:rsidRPr="003C34AF" w:rsidSect="003D1492">
          <w:pgSz w:w="11906" w:h="16838"/>
          <w:pgMar w:top="1418" w:right="1418" w:bottom="1418" w:left="1418" w:header="708" w:footer="708" w:gutter="0"/>
          <w:cols w:space="708"/>
          <w:docGrid w:linePitch="360"/>
        </w:sectPr>
      </w:pPr>
    </w:p>
    <w:p w14:paraId="4FA5FE2B" w14:textId="4FC9A3E4" w:rsidR="002A0A8D" w:rsidRPr="003C34AF" w:rsidRDefault="002A0A8D" w:rsidP="002A0A8D">
      <w:pPr>
        <w:autoSpaceDE w:val="0"/>
        <w:autoSpaceDN w:val="0"/>
        <w:adjustRightInd w:val="0"/>
        <w:spacing w:after="0" w:line="240" w:lineRule="auto"/>
        <w:jc w:val="both"/>
        <w:rPr>
          <w:rFonts w:ascii="Times New Roman" w:hAnsi="Times New Roman"/>
          <w:b/>
          <w:bCs/>
          <w:i/>
        </w:rPr>
      </w:pPr>
      <w:r w:rsidRPr="003C34AF">
        <w:rPr>
          <w:rFonts w:ascii="Times New Roman" w:eastAsiaTheme="minorHAnsi" w:hAnsi="Times New Roman"/>
          <w:b/>
          <w:bCs/>
          <w:lang w:eastAsia="en-US"/>
        </w:rPr>
        <w:lastRenderedPageBreak/>
        <w:t xml:space="preserve">Tablica broj 6.: </w:t>
      </w:r>
      <w:r w:rsidRPr="003C34AF">
        <w:rPr>
          <w:rFonts w:ascii="Times New Roman" w:hAnsi="Times New Roman"/>
        </w:rPr>
        <w:t>Stanje potencijalih obaveza po osnovi sudskih sporova na dan 31. prosinac 2025. godine</w:t>
      </w:r>
    </w:p>
    <w:tbl>
      <w:tblPr>
        <w:tblW w:w="16276" w:type="dxa"/>
        <w:jc w:val="center"/>
        <w:tblLook w:val="04A0" w:firstRow="1" w:lastRow="0" w:firstColumn="1" w:lastColumn="0" w:noHBand="0" w:noVBand="1"/>
      </w:tblPr>
      <w:tblGrid>
        <w:gridCol w:w="580"/>
        <w:gridCol w:w="1246"/>
        <w:gridCol w:w="1735"/>
        <w:gridCol w:w="1985"/>
        <w:gridCol w:w="3230"/>
        <w:gridCol w:w="1197"/>
        <w:gridCol w:w="1512"/>
        <w:gridCol w:w="1131"/>
        <w:gridCol w:w="1116"/>
        <w:gridCol w:w="1055"/>
        <w:gridCol w:w="7"/>
        <w:gridCol w:w="1475"/>
        <w:gridCol w:w="7"/>
      </w:tblGrid>
      <w:tr w:rsidR="00B31BA7" w:rsidRPr="00B31BA7" w14:paraId="7AA1D683" w14:textId="77777777" w:rsidTr="00FF0D7E">
        <w:trPr>
          <w:trHeight w:val="540"/>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6843C7D9"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RB</w:t>
            </w:r>
          </w:p>
        </w:tc>
        <w:tc>
          <w:tcPr>
            <w:tcW w:w="1224"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0B56C014"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BROJ PREDMETA</w:t>
            </w:r>
          </w:p>
        </w:tc>
        <w:tc>
          <w:tcPr>
            <w:tcW w:w="1735"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1A13767E"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 xml:space="preserve">TUŽITELJ </w:t>
            </w:r>
          </w:p>
        </w:tc>
        <w:tc>
          <w:tcPr>
            <w:tcW w:w="1985" w:type="dxa"/>
            <w:vMerge w:val="restart"/>
            <w:tcBorders>
              <w:top w:val="single" w:sz="4" w:space="0" w:color="auto"/>
              <w:left w:val="single" w:sz="4" w:space="0" w:color="auto"/>
              <w:bottom w:val="single" w:sz="4" w:space="0" w:color="000000"/>
              <w:right w:val="single" w:sz="4" w:space="0" w:color="auto"/>
            </w:tcBorders>
            <w:shd w:val="clear" w:color="CCCCFF" w:fill="D0CECE"/>
            <w:noWrap/>
            <w:vAlign w:val="center"/>
            <w:hideMark/>
          </w:tcPr>
          <w:p w14:paraId="77B56E3A"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TUŽENIK</w:t>
            </w:r>
          </w:p>
        </w:tc>
        <w:tc>
          <w:tcPr>
            <w:tcW w:w="3260"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06529897"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SAŽETI OPIS PRIRODE SPORA</w:t>
            </w:r>
          </w:p>
        </w:tc>
        <w:tc>
          <w:tcPr>
            <w:tcW w:w="1178" w:type="dxa"/>
            <w:vMerge w:val="restart"/>
            <w:tcBorders>
              <w:top w:val="single" w:sz="4" w:space="0" w:color="auto"/>
              <w:left w:val="single" w:sz="4" w:space="0" w:color="auto"/>
              <w:bottom w:val="single" w:sz="4" w:space="0" w:color="000000"/>
              <w:right w:val="single" w:sz="4" w:space="0" w:color="auto"/>
            </w:tcBorders>
            <w:shd w:val="clear" w:color="CCCCFF" w:fill="D0CECE"/>
            <w:noWrap/>
            <w:vAlign w:val="center"/>
            <w:hideMark/>
          </w:tcPr>
          <w:p w14:paraId="29B49387"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GLAVNICA</w:t>
            </w:r>
          </w:p>
        </w:tc>
        <w:tc>
          <w:tcPr>
            <w:tcW w:w="1519"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0F8C5E24"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POČETAK SUDSKOG SPORA</w:t>
            </w:r>
          </w:p>
        </w:tc>
        <w:tc>
          <w:tcPr>
            <w:tcW w:w="3309" w:type="dxa"/>
            <w:gridSpan w:val="4"/>
            <w:tcBorders>
              <w:top w:val="single" w:sz="4" w:space="0" w:color="auto"/>
              <w:left w:val="nil"/>
              <w:bottom w:val="single" w:sz="4" w:space="0" w:color="auto"/>
              <w:right w:val="nil"/>
            </w:tcBorders>
            <w:shd w:val="clear" w:color="CCCCFF" w:fill="D0CECE"/>
            <w:noWrap/>
            <w:vAlign w:val="center"/>
            <w:hideMark/>
          </w:tcPr>
          <w:p w14:paraId="1704321E"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PROCJENA FINANCIJSKOG UČINKA</w:t>
            </w:r>
          </w:p>
        </w:tc>
        <w:tc>
          <w:tcPr>
            <w:tcW w:w="1486" w:type="dxa"/>
            <w:gridSpan w:val="2"/>
            <w:tcBorders>
              <w:top w:val="single" w:sz="4" w:space="0" w:color="auto"/>
              <w:left w:val="single" w:sz="4" w:space="0" w:color="auto"/>
              <w:bottom w:val="single" w:sz="4" w:space="0" w:color="000000"/>
              <w:right w:val="single" w:sz="4" w:space="0" w:color="auto"/>
            </w:tcBorders>
            <w:shd w:val="clear" w:color="CCCCFF" w:fill="D0CECE"/>
            <w:vAlign w:val="center"/>
            <w:hideMark/>
          </w:tcPr>
          <w:p w14:paraId="170374BB"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NAPOMENA</w:t>
            </w:r>
          </w:p>
        </w:tc>
      </w:tr>
      <w:tr w:rsidR="00B31BA7" w:rsidRPr="00B31BA7" w14:paraId="683FC576" w14:textId="77777777" w:rsidTr="00FF0D7E">
        <w:trPr>
          <w:gridAfter w:val="1"/>
          <w:wAfter w:w="7" w:type="dxa"/>
          <w:trHeight w:val="63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2DAF62B7" w14:textId="77777777" w:rsidR="00B31BA7" w:rsidRPr="00B31BA7" w:rsidRDefault="00B31BA7" w:rsidP="00FF0D7E">
            <w:pPr>
              <w:spacing w:after="0" w:line="240" w:lineRule="auto"/>
              <w:rPr>
                <w:rFonts w:ascii="Times New Roman" w:hAnsi="Times New Roman"/>
                <w:b/>
                <w:bCs/>
                <w:color w:val="000000"/>
                <w:sz w:val="18"/>
                <w:szCs w:val="18"/>
              </w:rPr>
            </w:pPr>
          </w:p>
        </w:tc>
        <w:tc>
          <w:tcPr>
            <w:tcW w:w="1224" w:type="dxa"/>
            <w:vMerge/>
            <w:tcBorders>
              <w:top w:val="single" w:sz="4" w:space="0" w:color="auto"/>
              <w:left w:val="single" w:sz="4" w:space="0" w:color="auto"/>
              <w:bottom w:val="single" w:sz="4" w:space="0" w:color="000000"/>
              <w:right w:val="single" w:sz="4" w:space="0" w:color="auto"/>
            </w:tcBorders>
            <w:vAlign w:val="center"/>
            <w:hideMark/>
          </w:tcPr>
          <w:p w14:paraId="3C6ADB86" w14:textId="77777777" w:rsidR="00B31BA7" w:rsidRPr="00B31BA7" w:rsidRDefault="00B31BA7" w:rsidP="00FF0D7E">
            <w:pPr>
              <w:spacing w:after="0" w:line="240" w:lineRule="auto"/>
              <w:rPr>
                <w:rFonts w:ascii="Times New Roman" w:hAnsi="Times New Roman"/>
                <w:b/>
                <w:bCs/>
                <w:color w:val="000000"/>
                <w:sz w:val="18"/>
                <w:szCs w:val="18"/>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14:paraId="6A7483BC" w14:textId="77777777" w:rsidR="00B31BA7" w:rsidRPr="00B31BA7" w:rsidRDefault="00B31BA7" w:rsidP="00FF0D7E">
            <w:pPr>
              <w:spacing w:after="0" w:line="240" w:lineRule="auto"/>
              <w:rPr>
                <w:rFonts w:ascii="Times New Roman" w:hAnsi="Times New Roman"/>
                <w:b/>
                <w:bCs/>
                <w:color w:val="000000"/>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2EEBE42" w14:textId="77777777" w:rsidR="00B31BA7" w:rsidRPr="00B31BA7" w:rsidRDefault="00B31BA7" w:rsidP="00FF0D7E">
            <w:pPr>
              <w:spacing w:after="0" w:line="240" w:lineRule="auto"/>
              <w:rPr>
                <w:rFonts w:ascii="Times New Roman" w:hAnsi="Times New Roman"/>
                <w:b/>
                <w:bCs/>
                <w:color w:val="000000"/>
                <w:sz w:val="18"/>
                <w:szCs w:val="18"/>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6C05A039" w14:textId="77777777" w:rsidR="00B31BA7" w:rsidRPr="00B31BA7" w:rsidRDefault="00B31BA7" w:rsidP="00FF0D7E">
            <w:pPr>
              <w:spacing w:after="0" w:line="240" w:lineRule="auto"/>
              <w:rPr>
                <w:rFonts w:ascii="Times New Roman" w:hAnsi="Times New Roman"/>
                <w:b/>
                <w:bCs/>
                <w:color w:val="000000"/>
                <w:sz w:val="18"/>
                <w:szCs w:val="18"/>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2EE09807" w14:textId="77777777" w:rsidR="00B31BA7" w:rsidRPr="00B31BA7" w:rsidRDefault="00B31BA7" w:rsidP="00FF0D7E">
            <w:pPr>
              <w:spacing w:after="0" w:line="240" w:lineRule="auto"/>
              <w:rPr>
                <w:rFonts w:ascii="Times New Roman" w:hAnsi="Times New Roman"/>
                <w:b/>
                <w:bCs/>
                <w:color w:val="000000"/>
                <w:sz w:val="18"/>
                <w:szCs w:val="18"/>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79351EFA" w14:textId="77777777" w:rsidR="00B31BA7" w:rsidRPr="00B31BA7" w:rsidRDefault="00B31BA7" w:rsidP="00FF0D7E">
            <w:pPr>
              <w:spacing w:after="0" w:line="240" w:lineRule="auto"/>
              <w:rPr>
                <w:rFonts w:ascii="Times New Roman" w:hAnsi="Times New Roman"/>
                <w:b/>
                <w:bCs/>
                <w:color w:val="000000"/>
                <w:sz w:val="18"/>
                <w:szCs w:val="18"/>
              </w:rPr>
            </w:pPr>
          </w:p>
        </w:tc>
        <w:tc>
          <w:tcPr>
            <w:tcW w:w="1131" w:type="dxa"/>
            <w:tcBorders>
              <w:top w:val="nil"/>
              <w:left w:val="nil"/>
              <w:bottom w:val="single" w:sz="4" w:space="0" w:color="auto"/>
              <w:right w:val="single" w:sz="4" w:space="0" w:color="auto"/>
            </w:tcBorders>
            <w:shd w:val="clear" w:color="000000" w:fill="D0CECE"/>
            <w:vAlign w:val="bottom"/>
            <w:hideMark/>
          </w:tcPr>
          <w:p w14:paraId="05F2663E"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Odljev sredstava</w:t>
            </w:r>
          </w:p>
        </w:tc>
        <w:tc>
          <w:tcPr>
            <w:tcW w:w="1116" w:type="dxa"/>
            <w:tcBorders>
              <w:top w:val="nil"/>
              <w:left w:val="nil"/>
              <w:bottom w:val="single" w:sz="4" w:space="0" w:color="auto"/>
              <w:right w:val="single" w:sz="4" w:space="0" w:color="auto"/>
            </w:tcBorders>
            <w:shd w:val="clear" w:color="000000" w:fill="D0CECE"/>
            <w:vAlign w:val="bottom"/>
            <w:hideMark/>
          </w:tcPr>
          <w:p w14:paraId="3F491118"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Priljev sredstava</w:t>
            </w:r>
          </w:p>
        </w:tc>
        <w:tc>
          <w:tcPr>
            <w:tcW w:w="1055" w:type="dxa"/>
            <w:tcBorders>
              <w:top w:val="nil"/>
              <w:left w:val="nil"/>
              <w:bottom w:val="single" w:sz="4" w:space="0" w:color="auto"/>
              <w:right w:val="single" w:sz="4" w:space="0" w:color="auto"/>
            </w:tcBorders>
            <w:shd w:val="clear" w:color="000000" w:fill="D0CECE"/>
            <w:vAlign w:val="bottom"/>
            <w:hideMark/>
          </w:tcPr>
          <w:p w14:paraId="7121A4E0" w14:textId="77777777" w:rsidR="00B31BA7" w:rsidRPr="00B31BA7" w:rsidRDefault="00B31BA7" w:rsidP="00FF0D7E">
            <w:pPr>
              <w:spacing w:after="0" w:line="240" w:lineRule="auto"/>
              <w:jc w:val="center"/>
              <w:rPr>
                <w:rFonts w:ascii="Times New Roman" w:hAnsi="Times New Roman"/>
                <w:b/>
                <w:bCs/>
                <w:color w:val="000000"/>
                <w:sz w:val="18"/>
                <w:szCs w:val="18"/>
              </w:rPr>
            </w:pPr>
            <w:r w:rsidRPr="00B31BA7">
              <w:rPr>
                <w:rFonts w:ascii="Times New Roman" w:hAnsi="Times New Roman"/>
                <w:b/>
                <w:bCs/>
                <w:color w:val="000000"/>
                <w:sz w:val="18"/>
                <w:szCs w:val="18"/>
              </w:rPr>
              <w:t>Rok</w:t>
            </w:r>
          </w:p>
        </w:tc>
        <w:tc>
          <w:tcPr>
            <w:tcW w:w="1486" w:type="dxa"/>
            <w:gridSpan w:val="2"/>
            <w:tcBorders>
              <w:top w:val="single" w:sz="4" w:space="0" w:color="auto"/>
              <w:left w:val="single" w:sz="4" w:space="0" w:color="auto"/>
              <w:bottom w:val="single" w:sz="4" w:space="0" w:color="000000"/>
              <w:right w:val="single" w:sz="4" w:space="0" w:color="auto"/>
            </w:tcBorders>
            <w:vAlign w:val="center"/>
            <w:hideMark/>
          </w:tcPr>
          <w:p w14:paraId="32BF1971" w14:textId="77777777" w:rsidR="00B31BA7" w:rsidRPr="00B31BA7" w:rsidRDefault="00B31BA7" w:rsidP="00FF0D7E">
            <w:pPr>
              <w:spacing w:after="0" w:line="240" w:lineRule="auto"/>
              <w:rPr>
                <w:rFonts w:ascii="Times New Roman" w:hAnsi="Times New Roman"/>
                <w:b/>
                <w:bCs/>
                <w:color w:val="000000"/>
                <w:sz w:val="18"/>
                <w:szCs w:val="18"/>
              </w:rPr>
            </w:pPr>
          </w:p>
        </w:tc>
      </w:tr>
      <w:tr w:rsidR="00B31BA7" w:rsidRPr="00B31BA7" w14:paraId="2DAD9BC0" w14:textId="77777777" w:rsidTr="00FF0D7E">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71872FA8"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1.</w:t>
            </w:r>
          </w:p>
        </w:tc>
        <w:tc>
          <w:tcPr>
            <w:tcW w:w="1224" w:type="dxa"/>
            <w:tcBorders>
              <w:top w:val="nil"/>
              <w:left w:val="nil"/>
              <w:bottom w:val="single" w:sz="4" w:space="0" w:color="auto"/>
              <w:right w:val="single" w:sz="4" w:space="0" w:color="auto"/>
            </w:tcBorders>
            <w:noWrap/>
            <w:vAlign w:val="center"/>
            <w:hideMark/>
          </w:tcPr>
          <w:p w14:paraId="6A3C4088"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P-473/2023</w:t>
            </w:r>
          </w:p>
        </w:tc>
        <w:tc>
          <w:tcPr>
            <w:tcW w:w="1735" w:type="dxa"/>
            <w:tcBorders>
              <w:top w:val="nil"/>
              <w:left w:val="nil"/>
              <w:bottom w:val="single" w:sz="4" w:space="0" w:color="auto"/>
              <w:right w:val="single" w:sz="4" w:space="0" w:color="auto"/>
            </w:tcBorders>
            <w:noWrap/>
            <w:vAlign w:val="center"/>
            <w:hideMark/>
          </w:tcPr>
          <w:p w14:paraId="24848F07"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1985" w:type="dxa"/>
            <w:tcBorders>
              <w:top w:val="nil"/>
              <w:left w:val="nil"/>
              <w:bottom w:val="single" w:sz="4" w:space="0" w:color="auto"/>
              <w:right w:val="single" w:sz="4" w:space="0" w:color="auto"/>
            </w:tcBorders>
            <w:noWrap/>
            <w:vAlign w:val="center"/>
            <w:hideMark/>
          </w:tcPr>
          <w:p w14:paraId="0C6FCF6C"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DC</w:t>
            </w:r>
          </w:p>
        </w:tc>
        <w:tc>
          <w:tcPr>
            <w:tcW w:w="3260" w:type="dxa"/>
            <w:tcBorders>
              <w:top w:val="nil"/>
              <w:left w:val="nil"/>
              <w:bottom w:val="single" w:sz="4" w:space="0" w:color="auto"/>
              <w:right w:val="single" w:sz="4" w:space="0" w:color="auto"/>
            </w:tcBorders>
            <w:vAlign w:val="center"/>
            <w:hideMark/>
          </w:tcPr>
          <w:p w14:paraId="38750779"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PREDAJA POSJEDA 474 ZGR. k.o. OPRTALJ</w:t>
            </w:r>
          </w:p>
        </w:tc>
        <w:tc>
          <w:tcPr>
            <w:tcW w:w="1178" w:type="dxa"/>
            <w:tcBorders>
              <w:top w:val="nil"/>
              <w:left w:val="nil"/>
              <w:bottom w:val="single" w:sz="4" w:space="0" w:color="auto"/>
              <w:right w:val="single" w:sz="4" w:space="0" w:color="auto"/>
            </w:tcBorders>
            <w:noWrap/>
            <w:vAlign w:val="center"/>
            <w:hideMark/>
          </w:tcPr>
          <w:p w14:paraId="7CAC915C"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13.272,41</w:t>
            </w:r>
          </w:p>
        </w:tc>
        <w:tc>
          <w:tcPr>
            <w:tcW w:w="1519" w:type="dxa"/>
            <w:tcBorders>
              <w:top w:val="nil"/>
              <w:left w:val="nil"/>
              <w:bottom w:val="single" w:sz="4" w:space="0" w:color="auto"/>
              <w:right w:val="single" w:sz="4" w:space="0" w:color="auto"/>
            </w:tcBorders>
            <w:vAlign w:val="center"/>
            <w:hideMark/>
          </w:tcPr>
          <w:p w14:paraId="03515F8D"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18.04.2023.</w:t>
            </w:r>
          </w:p>
        </w:tc>
        <w:tc>
          <w:tcPr>
            <w:tcW w:w="1131" w:type="dxa"/>
            <w:tcBorders>
              <w:top w:val="nil"/>
              <w:left w:val="nil"/>
              <w:bottom w:val="single" w:sz="4" w:space="0" w:color="auto"/>
              <w:right w:val="single" w:sz="4" w:space="0" w:color="auto"/>
            </w:tcBorders>
            <w:vAlign w:val="center"/>
            <w:hideMark/>
          </w:tcPr>
          <w:p w14:paraId="63CB51B4"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56.006,06</w:t>
            </w:r>
          </w:p>
        </w:tc>
        <w:tc>
          <w:tcPr>
            <w:tcW w:w="1116" w:type="dxa"/>
            <w:tcBorders>
              <w:top w:val="nil"/>
              <w:left w:val="nil"/>
              <w:bottom w:val="single" w:sz="4" w:space="0" w:color="auto"/>
              <w:right w:val="single" w:sz="4" w:space="0" w:color="auto"/>
            </w:tcBorders>
            <w:vAlign w:val="center"/>
            <w:hideMark/>
          </w:tcPr>
          <w:p w14:paraId="0A0A4A0D"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055" w:type="dxa"/>
            <w:tcBorders>
              <w:top w:val="nil"/>
              <w:left w:val="nil"/>
              <w:bottom w:val="single" w:sz="4" w:space="0" w:color="auto"/>
              <w:right w:val="single" w:sz="4" w:space="0" w:color="auto"/>
            </w:tcBorders>
            <w:vAlign w:val="center"/>
            <w:hideMark/>
          </w:tcPr>
          <w:p w14:paraId="47C78F2B"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2027.</w:t>
            </w:r>
          </w:p>
        </w:tc>
        <w:tc>
          <w:tcPr>
            <w:tcW w:w="1486" w:type="dxa"/>
            <w:gridSpan w:val="2"/>
            <w:vMerge w:val="restart"/>
            <w:tcBorders>
              <w:top w:val="nil"/>
              <w:left w:val="single" w:sz="4" w:space="0" w:color="auto"/>
              <w:bottom w:val="single" w:sz="4" w:space="0" w:color="000000"/>
              <w:right w:val="single" w:sz="4" w:space="0" w:color="auto"/>
            </w:tcBorders>
            <w:vAlign w:val="center"/>
            <w:hideMark/>
          </w:tcPr>
          <w:p w14:paraId="4DCC322C"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Povezani postupci za isti prostor</w:t>
            </w:r>
          </w:p>
        </w:tc>
      </w:tr>
      <w:tr w:rsidR="00B31BA7" w:rsidRPr="00B31BA7" w14:paraId="5F3E6A16" w14:textId="77777777" w:rsidTr="00FF0D7E">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783CDF73"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2.</w:t>
            </w:r>
          </w:p>
        </w:tc>
        <w:tc>
          <w:tcPr>
            <w:tcW w:w="1224" w:type="dxa"/>
            <w:tcBorders>
              <w:top w:val="nil"/>
              <w:left w:val="nil"/>
              <w:bottom w:val="single" w:sz="4" w:space="0" w:color="auto"/>
              <w:right w:val="single" w:sz="4" w:space="0" w:color="auto"/>
            </w:tcBorders>
            <w:noWrap/>
            <w:vAlign w:val="center"/>
            <w:hideMark/>
          </w:tcPr>
          <w:p w14:paraId="525542A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P-770/2023</w:t>
            </w:r>
          </w:p>
        </w:tc>
        <w:tc>
          <w:tcPr>
            <w:tcW w:w="1735" w:type="dxa"/>
            <w:tcBorders>
              <w:top w:val="nil"/>
              <w:left w:val="nil"/>
              <w:bottom w:val="single" w:sz="4" w:space="0" w:color="auto"/>
              <w:right w:val="single" w:sz="4" w:space="0" w:color="auto"/>
            </w:tcBorders>
            <w:noWrap/>
            <w:vAlign w:val="center"/>
            <w:hideMark/>
          </w:tcPr>
          <w:p w14:paraId="2BEACE85"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1985" w:type="dxa"/>
            <w:tcBorders>
              <w:top w:val="nil"/>
              <w:left w:val="nil"/>
              <w:bottom w:val="single" w:sz="4" w:space="0" w:color="auto"/>
              <w:right w:val="single" w:sz="4" w:space="0" w:color="auto"/>
            </w:tcBorders>
            <w:noWrap/>
            <w:vAlign w:val="center"/>
            <w:hideMark/>
          </w:tcPr>
          <w:p w14:paraId="6A019397"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DC</w:t>
            </w:r>
          </w:p>
        </w:tc>
        <w:tc>
          <w:tcPr>
            <w:tcW w:w="3260" w:type="dxa"/>
            <w:tcBorders>
              <w:top w:val="nil"/>
              <w:left w:val="nil"/>
              <w:bottom w:val="single" w:sz="4" w:space="0" w:color="auto"/>
              <w:right w:val="single" w:sz="4" w:space="0" w:color="auto"/>
            </w:tcBorders>
            <w:vAlign w:val="center"/>
            <w:hideMark/>
          </w:tcPr>
          <w:p w14:paraId="5987E870"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ISPLATA TEMELJEM KORIŠTENJA PROSTORA BEZ UGOVORA</w:t>
            </w:r>
          </w:p>
        </w:tc>
        <w:tc>
          <w:tcPr>
            <w:tcW w:w="1178" w:type="dxa"/>
            <w:tcBorders>
              <w:top w:val="nil"/>
              <w:left w:val="nil"/>
              <w:bottom w:val="single" w:sz="4" w:space="0" w:color="auto"/>
              <w:right w:val="single" w:sz="4" w:space="0" w:color="auto"/>
            </w:tcBorders>
            <w:noWrap/>
            <w:vAlign w:val="center"/>
            <w:hideMark/>
          </w:tcPr>
          <w:p w14:paraId="4DECEFB2"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1.400,00</w:t>
            </w:r>
          </w:p>
        </w:tc>
        <w:tc>
          <w:tcPr>
            <w:tcW w:w="1519" w:type="dxa"/>
            <w:tcBorders>
              <w:top w:val="nil"/>
              <w:left w:val="nil"/>
              <w:bottom w:val="single" w:sz="4" w:space="0" w:color="auto"/>
              <w:right w:val="single" w:sz="4" w:space="0" w:color="auto"/>
            </w:tcBorders>
            <w:vAlign w:val="center"/>
            <w:hideMark/>
          </w:tcPr>
          <w:p w14:paraId="15B465CB"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12.06.2023.</w:t>
            </w:r>
          </w:p>
        </w:tc>
        <w:tc>
          <w:tcPr>
            <w:tcW w:w="1131" w:type="dxa"/>
            <w:tcBorders>
              <w:top w:val="nil"/>
              <w:left w:val="nil"/>
              <w:bottom w:val="single" w:sz="4" w:space="0" w:color="auto"/>
              <w:right w:val="single" w:sz="4" w:space="0" w:color="auto"/>
            </w:tcBorders>
            <w:vAlign w:val="center"/>
            <w:hideMark/>
          </w:tcPr>
          <w:p w14:paraId="44B1E653"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116" w:type="dxa"/>
            <w:tcBorders>
              <w:top w:val="nil"/>
              <w:left w:val="nil"/>
              <w:bottom w:val="single" w:sz="4" w:space="0" w:color="auto"/>
              <w:right w:val="single" w:sz="4" w:space="0" w:color="auto"/>
            </w:tcBorders>
            <w:vAlign w:val="center"/>
            <w:hideMark/>
          </w:tcPr>
          <w:p w14:paraId="77DDE63A"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1.400,00</w:t>
            </w:r>
          </w:p>
        </w:tc>
        <w:tc>
          <w:tcPr>
            <w:tcW w:w="1055" w:type="dxa"/>
            <w:tcBorders>
              <w:top w:val="nil"/>
              <w:left w:val="nil"/>
              <w:bottom w:val="single" w:sz="4" w:space="0" w:color="auto"/>
              <w:right w:val="single" w:sz="4" w:space="0" w:color="auto"/>
            </w:tcBorders>
            <w:vAlign w:val="center"/>
            <w:hideMark/>
          </w:tcPr>
          <w:p w14:paraId="16D62460"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2027.</w:t>
            </w:r>
          </w:p>
        </w:tc>
        <w:tc>
          <w:tcPr>
            <w:tcW w:w="1486" w:type="dxa"/>
            <w:gridSpan w:val="2"/>
            <w:vMerge/>
            <w:tcBorders>
              <w:top w:val="nil"/>
              <w:left w:val="single" w:sz="4" w:space="0" w:color="auto"/>
              <w:bottom w:val="single" w:sz="4" w:space="0" w:color="000000"/>
              <w:right w:val="single" w:sz="4" w:space="0" w:color="auto"/>
            </w:tcBorders>
            <w:vAlign w:val="center"/>
            <w:hideMark/>
          </w:tcPr>
          <w:p w14:paraId="303E4088" w14:textId="77777777" w:rsidR="00B31BA7" w:rsidRPr="00B31BA7" w:rsidRDefault="00B31BA7" w:rsidP="00FF0D7E">
            <w:pPr>
              <w:spacing w:after="0" w:line="240" w:lineRule="auto"/>
              <w:rPr>
                <w:rFonts w:ascii="Times New Roman" w:hAnsi="Times New Roman"/>
                <w:color w:val="000000"/>
                <w:sz w:val="18"/>
                <w:szCs w:val="18"/>
              </w:rPr>
            </w:pPr>
          </w:p>
        </w:tc>
      </w:tr>
      <w:tr w:rsidR="00B31BA7" w:rsidRPr="00B31BA7" w14:paraId="6FCE353A" w14:textId="77777777" w:rsidTr="00FF0D7E">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7878AF2C"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3.</w:t>
            </w:r>
          </w:p>
        </w:tc>
        <w:tc>
          <w:tcPr>
            <w:tcW w:w="1224" w:type="dxa"/>
            <w:tcBorders>
              <w:top w:val="nil"/>
              <w:left w:val="nil"/>
              <w:bottom w:val="single" w:sz="4" w:space="0" w:color="auto"/>
              <w:right w:val="single" w:sz="4" w:space="0" w:color="auto"/>
            </w:tcBorders>
            <w:noWrap/>
            <w:vAlign w:val="center"/>
            <w:hideMark/>
          </w:tcPr>
          <w:p w14:paraId="48E51B60"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P-98/2024</w:t>
            </w:r>
          </w:p>
        </w:tc>
        <w:tc>
          <w:tcPr>
            <w:tcW w:w="1735" w:type="dxa"/>
            <w:tcBorders>
              <w:top w:val="nil"/>
              <w:left w:val="nil"/>
              <w:bottom w:val="single" w:sz="4" w:space="0" w:color="auto"/>
              <w:right w:val="single" w:sz="4" w:space="0" w:color="auto"/>
            </w:tcBorders>
            <w:noWrap/>
            <w:vAlign w:val="center"/>
            <w:hideMark/>
          </w:tcPr>
          <w:p w14:paraId="18581D6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DC</w:t>
            </w:r>
          </w:p>
        </w:tc>
        <w:tc>
          <w:tcPr>
            <w:tcW w:w="1985" w:type="dxa"/>
            <w:tcBorders>
              <w:top w:val="nil"/>
              <w:left w:val="nil"/>
              <w:bottom w:val="single" w:sz="4" w:space="0" w:color="auto"/>
              <w:right w:val="single" w:sz="4" w:space="0" w:color="auto"/>
            </w:tcBorders>
            <w:noWrap/>
            <w:vAlign w:val="center"/>
            <w:hideMark/>
          </w:tcPr>
          <w:p w14:paraId="076C9EA3"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3260" w:type="dxa"/>
            <w:tcBorders>
              <w:top w:val="nil"/>
              <w:left w:val="nil"/>
              <w:bottom w:val="single" w:sz="4" w:space="0" w:color="auto"/>
              <w:right w:val="single" w:sz="4" w:space="0" w:color="auto"/>
            </w:tcBorders>
            <w:vAlign w:val="center"/>
            <w:hideMark/>
          </w:tcPr>
          <w:p w14:paraId="6D0E78C0"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ISPLATA ULOŽENIH SREDSTAVA U 474 ZGR. k.o. OPRTALJ</w:t>
            </w:r>
          </w:p>
        </w:tc>
        <w:tc>
          <w:tcPr>
            <w:tcW w:w="1178" w:type="dxa"/>
            <w:tcBorders>
              <w:top w:val="nil"/>
              <w:left w:val="nil"/>
              <w:bottom w:val="single" w:sz="4" w:space="0" w:color="auto"/>
              <w:right w:val="single" w:sz="4" w:space="0" w:color="auto"/>
            </w:tcBorders>
            <w:noWrap/>
            <w:vAlign w:val="center"/>
            <w:hideMark/>
          </w:tcPr>
          <w:p w14:paraId="5F3B5E07"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81.872,35</w:t>
            </w:r>
          </w:p>
        </w:tc>
        <w:tc>
          <w:tcPr>
            <w:tcW w:w="1519" w:type="dxa"/>
            <w:tcBorders>
              <w:top w:val="nil"/>
              <w:left w:val="nil"/>
              <w:bottom w:val="single" w:sz="4" w:space="0" w:color="auto"/>
              <w:right w:val="single" w:sz="4" w:space="0" w:color="auto"/>
            </w:tcBorders>
            <w:vAlign w:val="center"/>
            <w:hideMark/>
          </w:tcPr>
          <w:p w14:paraId="03930B30"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siječanj 2024.</w:t>
            </w:r>
          </w:p>
        </w:tc>
        <w:tc>
          <w:tcPr>
            <w:tcW w:w="1131" w:type="dxa"/>
            <w:tcBorders>
              <w:top w:val="nil"/>
              <w:left w:val="nil"/>
              <w:bottom w:val="single" w:sz="4" w:space="0" w:color="auto"/>
              <w:right w:val="single" w:sz="4" w:space="0" w:color="auto"/>
            </w:tcBorders>
            <w:vAlign w:val="center"/>
            <w:hideMark/>
          </w:tcPr>
          <w:p w14:paraId="3B20DF58"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56.006,06</w:t>
            </w:r>
          </w:p>
        </w:tc>
        <w:tc>
          <w:tcPr>
            <w:tcW w:w="1116" w:type="dxa"/>
            <w:tcBorders>
              <w:top w:val="nil"/>
              <w:left w:val="nil"/>
              <w:bottom w:val="single" w:sz="4" w:space="0" w:color="auto"/>
              <w:right w:val="single" w:sz="4" w:space="0" w:color="auto"/>
            </w:tcBorders>
            <w:vAlign w:val="center"/>
            <w:hideMark/>
          </w:tcPr>
          <w:p w14:paraId="77250191"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055" w:type="dxa"/>
            <w:tcBorders>
              <w:top w:val="nil"/>
              <w:left w:val="nil"/>
              <w:bottom w:val="single" w:sz="4" w:space="0" w:color="auto"/>
              <w:right w:val="single" w:sz="4" w:space="0" w:color="auto"/>
            </w:tcBorders>
            <w:vAlign w:val="center"/>
            <w:hideMark/>
          </w:tcPr>
          <w:p w14:paraId="61BA0645"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2027.</w:t>
            </w:r>
          </w:p>
        </w:tc>
        <w:tc>
          <w:tcPr>
            <w:tcW w:w="1486" w:type="dxa"/>
            <w:gridSpan w:val="2"/>
            <w:vMerge/>
            <w:tcBorders>
              <w:top w:val="nil"/>
              <w:left w:val="single" w:sz="4" w:space="0" w:color="auto"/>
              <w:bottom w:val="single" w:sz="4" w:space="0" w:color="000000"/>
              <w:right w:val="single" w:sz="4" w:space="0" w:color="auto"/>
            </w:tcBorders>
            <w:vAlign w:val="center"/>
            <w:hideMark/>
          </w:tcPr>
          <w:p w14:paraId="388F62CD" w14:textId="77777777" w:rsidR="00B31BA7" w:rsidRPr="00B31BA7" w:rsidRDefault="00B31BA7" w:rsidP="00FF0D7E">
            <w:pPr>
              <w:spacing w:after="0" w:line="240" w:lineRule="auto"/>
              <w:rPr>
                <w:rFonts w:ascii="Times New Roman" w:hAnsi="Times New Roman"/>
                <w:color w:val="000000"/>
                <w:sz w:val="18"/>
                <w:szCs w:val="18"/>
              </w:rPr>
            </w:pPr>
          </w:p>
        </w:tc>
      </w:tr>
      <w:tr w:rsidR="00B31BA7" w:rsidRPr="00B31BA7" w14:paraId="59484F64" w14:textId="77777777" w:rsidTr="00FF0D7E">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54DCDB58"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4.</w:t>
            </w:r>
          </w:p>
        </w:tc>
        <w:tc>
          <w:tcPr>
            <w:tcW w:w="1224" w:type="dxa"/>
            <w:tcBorders>
              <w:top w:val="nil"/>
              <w:left w:val="nil"/>
              <w:bottom w:val="single" w:sz="4" w:space="0" w:color="auto"/>
              <w:right w:val="single" w:sz="4" w:space="0" w:color="auto"/>
            </w:tcBorders>
            <w:noWrap/>
            <w:vAlign w:val="center"/>
            <w:hideMark/>
          </w:tcPr>
          <w:p w14:paraId="37D7A0C0"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P-552/2023</w:t>
            </w:r>
          </w:p>
        </w:tc>
        <w:tc>
          <w:tcPr>
            <w:tcW w:w="1735" w:type="dxa"/>
            <w:tcBorders>
              <w:top w:val="nil"/>
              <w:left w:val="nil"/>
              <w:bottom w:val="single" w:sz="4" w:space="0" w:color="auto"/>
              <w:right w:val="single" w:sz="4" w:space="0" w:color="auto"/>
            </w:tcBorders>
            <w:noWrap/>
            <w:vAlign w:val="center"/>
            <w:hideMark/>
          </w:tcPr>
          <w:p w14:paraId="663EC129"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1985" w:type="dxa"/>
            <w:tcBorders>
              <w:top w:val="nil"/>
              <w:left w:val="nil"/>
              <w:bottom w:val="single" w:sz="4" w:space="0" w:color="auto"/>
              <w:right w:val="single" w:sz="4" w:space="0" w:color="auto"/>
            </w:tcBorders>
            <w:noWrap/>
            <w:vAlign w:val="center"/>
            <w:hideMark/>
          </w:tcPr>
          <w:p w14:paraId="108532D1"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GŠ</w:t>
            </w:r>
          </w:p>
        </w:tc>
        <w:tc>
          <w:tcPr>
            <w:tcW w:w="3260" w:type="dxa"/>
            <w:tcBorders>
              <w:top w:val="nil"/>
              <w:left w:val="nil"/>
              <w:bottom w:val="single" w:sz="4" w:space="0" w:color="auto"/>
              <w:right w:val="single" w:sz="4" w:space="0" w:color="auto"/>
            </w:tcBorders>
            <w:vAlign w:val="center"/>
            <w:hideMark/>
          </w:tcPr>
          <w:p w14:paraId="60FB2522"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PREDAJA POSJEDA 474 ZGR. k.o. OPRTALJ</w:t>
            </w:r>
          </w:p>
        </w:tc>
        <w:tc>
          <w:tcPr>
            <w:tcW w:w="1178" w:type="dxa"/>
            <w:tcBorders>
              <w:top w:val="nil"/>
              <w:left w:val="nil"/>
              <w:bottom w:val="single" w:sz="4" w:space="0" w:color="auto"/>
              <w:right w:val="single" w:sz="4" w:space="0" w:color="auto"/>
            </w:tcBorders>
            <w:noWrap/>
            <w:vAlign w:val="center"/>
            <w:hideMark/>
          </w:tcPr>
          <w:p w14:paraId="1DCC85CF"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933,00</w:t>
            </w:r>
          </w:p>
        </w:tc>
        <w:tc>
          <w:tcPr>
            <w:tcW w:w="1519" w:type="dxa"/>
            <w:tcBorders>
              <w:top w:val="nil"/>
              <w:left w:val="nil"/>
              <w:bottom w:val="single" w:sz="4" w:space="0" w:color="auto"/>
              <w:right w:val="single" w:sz="4" w:space="0" w:color="auto"/>
            </w:tcBorders>
            <w:vAlign w:val="center"/>
            <w:hideMark/>
          </w:tcPr>
          <w:p w14:paraId="4A3624B9"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23.05.2023.</w:t>
            </w:r>
          </w:p>
        </w:tc>
        <w:tc>
          <w:tcPr>
            <w:tcW w:w="1131" w:type="dxa"/>
            <w:tcBorders>
              <w:top w:val="nil"/>
              <w:left w:val="nil"/>
              <w:bottom w:val="single" w:sz="4" w:space="0" w:color="auto"/>
              <w:right w:val="single" w:sz="4" w:space="0" w:color="auto"/>
            </w:tcBorders>
            <w:vAlign w:val="center"/>
            <w:hideMark/>
          </w:tcPr>
          <w:p w14:paraId="1A2BB4D6"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116" w:type="dxa"/>
            <w:tcBorders>
              <w:top w:val="nil"/>
              <w:left w:val="nil"/>
              <w:bottom w:val="single" w:sz="4" w:space="0" w:color="auto"/>
              <w:right w:val="single" w:sz="4" w:space="0" w:color="auto"/>
            </w:tcBorders>
            <w:vAlign w:val="center"/>
            <w:hideMark/>
          </w:tcPr>
          <w:p w14:paraId="19C5313D"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933,00</w:t>
            </w:r>
          </w:p>
        </w:tc>
        <w:tc>
          <w:tcPr>
            <w:tcW w:w="1055" w:type="dxa"/>
            <w:tcBorders>
              <w:top w:val="nil"/>
              <w:left w:val="nil"/>
              <w:bottom w:val="single" w:sz="4" w:space="0" w:color="auto"/>
              <w:right w:val="single" w:sz="4" w:space="0" w:color="auto"/>
            </w:tcBorders>
            <w:vAlign w:val="center"/>
            <w:hideMark/>
          </w:tcPr>
          <w:p w14:paraId="3CFEAD2E"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2027.</w:t>
            </w:r>
          </w:p>
        </w:tc>
        <w:tc>
          <w:tcPr>
            <w:tcW w:w="1486" w:type="dxa"/>
            <w:gridSpan w:val="2"/>
            <w:tcBorders>
              <w:top w:val="nil"/>
              <w:left w:val="nil"/>
              <w:bottom w:val="single" w:sz="4" w:space="0" w:color="auto"/>
              <w:right w:val="single" w:sz="4" w:space="0" w:color="auto"/>
            </w:tcBorders>
            <w:vAlign w:val="center"/>
            <w:hideMark/>
          </w:tcPr>
          <w:p w14:paraId="1146842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 </w:t>
            </w:r>
          </w:p>
        </w:tc>
      </w:tr>
      <w:tr w:rsidR="00B31BA7" w:rsidRPr="00B31BA7" w14:paraId="4D4B4E8D" w14:textId="77777777" w:rsidTr="00FF0D7E">
        <w:trPr>
          <w:gridAfter w:val="1"/>
          <w:wAfter w:w="7" w:type="dxa"/>
          <w:trHeight w:val="540"/>
          <w:jc w:val="center"/>
        </w:trPr>
        <w:tc>
          <w:tcPr>
            <w:tcW w:w="580" w:type="dxa"/>
            <w:tcBorders>
              <w:top w:val="nil"/>
              <w:left w:val="single" w:sz="4" w:space="0" w:color="auto"/>
              <w:bottom w:val="single" w:sz="4" w:space="0" w:color="auto"/>
              <w:right w:val="single" w:sz="4" w:space="0" w:color="auto"/>
            </w:tcBorders>
            <w:noWrap/>
            <w:vAlign w:val="center"/>
            <w:hideMark/>
          </w:tcPr>
          <w:p w14:paraId="461A81E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5.</w:t>
            </w:r>
          </w:p>
        </w:tc>
        <w:tc>
          <w:tcPr>
            <w:tcW w:w="1224" w:type="dxa"/>
            <w:tcBorders>
              <w:top w:val="nil"/>
              <w:left w:val="nil"/>
              <w:bottom w:val="single" w:sz="4" w:space="0" w:color="auto"/>
              <w:right w:val="single" w:sz="4" w:space="0" w:color="auto"/>
            </w:tcBorders>
            <w:noWrap/>
            <w:vAlign w:val="center"/>
            <w:hideMark/>
          </w:tcPr>
          <w:p w14:paraId="01F634D7"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R1-30/2025</w:t>
            </w:r>
          </w:p>
        </w:tc>
        <w:tc>
          <w:tcPr>
            <w:tcW w:w="1735" w:type="dxa"/>
            <w:tcBorders>
              <w:top w:val="nil"/>
              <w:left w:val="nil"/>
              <w:bottom w:val="single" w:sz="4" w:space="0" w:color="auto"/>
              <w:right w:val="single" w:sz="4" w:space="0" w:color="auto"/>
            </w:tcBorders>
            <w:noWrap/>
            <w:vAlign w:val="center"/>
            <w:hideMark/>
          </w:tcPr>
          <w:p w14:paraId="5D55DF3D"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1985" w:type="dxa"/>
            <w:tcBorders>
              <w:top w:val="nil"/>
              <w:left w:val="nil"/>
              <w:bottom w:val="single" w:sz="4" w:space="0" w:color="auto"/>
              <w:right w:val="single" w:sz="4" w:space="0" w:color="auto"/>
            </w:tcBorders>
            <w:vAlign w:val="center"/>
            <w:hideMark/>
          </w:tcPr>
          <w:p w14:paraId="42621DC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MA, FR, MŠ</w:t>
            </w:r>
          </w:p>
        </w:tc>
        <w:tc>
          <w:tcPr>
            <w:tcW w:w="3260" w:type="dxa"/>
            <w:tcBorders>
              <w:top w:val="nil"/>
              <w:left w:val="nil"/>
              <w:bottom w:val="single" w:sz="4" w:space="0" w:color="auto"/>
              <w:right w:val="single" w:sz="4" w:space="0" w:color="auto"/>
            </w:tcBorders>
            <w:vAlign w:val="center"/>
            <w:hideMark/>
          </w:tcPr>
          <w:p w14:paraId="491D1403"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RAZVRGNUĆE SUVLASNIŠTVA</w:t>
            </w:r>
          </w:p>
        </w:tc>
        <w:tc>
          <w:tcPr>
            <w:tcW w:w="1178" w:type="dxa"/>
            <w:tcBorders>
              <w:top w:val="nil"/>
              <w:left w:val="nil"/>
              <w:bottom w:val="single" w:sz="4" w:space="0" w:color="auto"/>
              <w:right w:val="single" w:sz="4" w:space="0" w:color="auto"/>
            </w:tcBorders>
            <w:noWrap/>
            <w:vAlign w:val="center"/>
            <w:hideMark/>
          </w:tcPr>
          <w:p w14:paraId="7B95A42F"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1.500,00</w:t>
            </w:r>
          </w:p>
        </w:tc>
        <w:tc>
          <w:tcPr>
            <w:tcW w:w="1519" w:type="dxa"/>
            <w:tcBorders>
              <w:top w:val="nil"/>
              <w:left w:val="nil"/>
              <w:bottom w:val="single" w:sz="4" w:space="0" w:color="auto"/>
              <w:right w:val="single" w:sz="4" w:space="0" w:color="auto"/>
            </w:tcBorders>
            <w:vAlign w:val="center"/>
            <w:hideMark/>
          </w:tcPr>
          <w:p w14:paraId="36C88AE6"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03.02.2025.</w:t>
            </w:r>
          </w:p>
        </w:tc>
        <w:tc>
          <w:tcPr>
            <w:tcW w:w="1131" w:type="dxa"/>
            <w:tcBorders>
              <w:top w:val="nil"/>
              <w:left w:val="nil"/>
              <w:bottom w:val="single" w:sz="4" w:space="0" w:color="auto"/>
              <w:right w:val="single" w:sz="4" w:space="0" w:color="auto"/>
            </w:tcBorders>
            <w:vAlign w:val="center"/>
            <w:hideMark/>
          </w:tcPr>
          <w:p w14:paraId="46855BB7"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116" w:type="dxa"/>
            <w:tcBorders>
              <w:top w:val="nil"/>
              <w:left w:val="nil"/>
              <w:bottom w:val="single" w:sz="4" w:space="0" w:color="auto"/>
              <w:right w:val="single" w:sz="4" w:space="0" w:color="auto"/>
            </w:tcBorders>
            <w:vAlign w:val="center"/>
            <w:hideMark/>
          </w:tcPr>
          <w:p w14:paraId="051C643C"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1.500,00</w:t>
            </w:r>
          </w:p>
        </w:tc>
        <w:tc>
          <w:tcPr>
            <w:tcW w:w="1055" w:type="dxa"/>
            <w:tcBorders>
              <w:top w:val="nil"/>
              <w:left w:val="nil"/>
              <w:bottom w:val="single" w:sz="4" w:space="0" w:color="auto"/>
              <w:right w:val="single" w:sz="4" w:space="0" w:color="auto"/>
            </w:tcBorders>
            <w:vAlign w:val="center"/>
            <w:hideMark/>
          </w:tcPr>
          <w:p w14:paraId="2D3E02BA"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2028.</w:t>
            </w:r>
          </w:p>
        </w:tc>
        <w:tc>
          <w:tcPr>
            <w:tcW w:w="1486" w:type="dxa"/>
            <w:gridSpan w:val="2"/>
            <w:vMerge w:val="restart"/>
            <w:tcBorders>
              <w:top w:val="nil"/>
              <w:left w:val="single" w:sz="4" w:space="0" w:color="auto"/>
              <w:bottom w:val="single" w:sz="4" w:space="0" w:color="000000"/>
              <w:right w:val="single" w:sz="4" w:space="0" w:color="auto"/>
            </w:tcBorders>
            <w:vAlign w:val="center"/>
            <w:hideMark/>
          </w:tcPr>
          <w:p w14:paraId="3EFB6480"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Povezani postupci za isti predmet</w:t>
            </w:r>
          </w:p>
        </w:tc>
      </w:tr>
      <w:tr w:rsidR="00B31BA7" w:rsidRPr="00B31BA7" w14:paraId="39EAC0F0" w14:textId="77777777" w:rsidTr="00FF0D7E">
        <w:trPr>
          <w:gridAfter w:val="1"/>
          <w:wAfter w:w="7" w:type="dxa"/>
          <w:trHeight w:val="540"/>
          <w:jc w:val="center"/>
        </w:trPr>
        <w:tc>
          <w:tcPr>
            <w:tcW w:w="580" w:type="dxa"/>
            <w:tcBorders>
              <w:top w:val="nil"/>
              <w:left w:val="single" w:sz="4" w:space="0" w:color="auto"/>
              <w:bottom w:val="single" w:sz="4" w:space="0" w:color="auto"/>
              <w:right w:val="single" w:sz="4" w:space="0" w:color="auto"/>
            </w:tcBorders>
            <w:noWrap/>
            <w:vAlign w:val="center"/>
            <w:hideMark/>
          </w:tcPr>
          <w:p w14:paraId="5D115F12"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6.</w:t>
            </w:r>
          </w:p>
        </w:tc>
        <w:tc>
          <w:tcPr>
            <w:tcW w:w="1224" w:type="dxa"/>
            <w:tcBorders>
              <w:top w:val="nil"/>
              <w:left w:val="nil"/>
              <w:bottom w:val="single" w:sz="4" w:space="0" w:color="auto"/>
              <w:right w:val="single" w:sz="4" w:space="0" w:color="auto"/>
            </w:tcBorders>
            <w:noWrap/>
            <w:vAlign w:val="center"/>
            <w:hideMark/>
          </w:tcPr>
          <w:p w14:paraId="7E792C4C"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P-925/2025</w:t>
            </w:r>
          </w:p>
        </w:tc>
        <w:tc>
          <w:tcPr>
            <w:tcW w:w="1735" w:type="dxa"/>
            <w:tcBorders>
              <w:top w:val="nil"/>
              <w:left w:val="nil"/>
              <w:bottom w:val="single" w:sz="4" w:space="0" w:color="auto"/>
              <w:right w:val="single" w:sz="4" w:space="0" w:color="auto"/>
            </w:tcBorders>
            <w:vAlign w:val="center"/>
            <w:hideMark/>
          </w:tcPr>
          <w:p w14:paraId="09A55BFE"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FIZIČKA OSOBA MA, FR, MŠ</w:t>
            </w:r>
          </w:p>
        </w:tc>
        <w:tc>
          <w:tcPr>
            <w:tcW w:w="1985" w:type="dxa"/>
            <w:tcBorders>
              <w:top w:val="nil"/>
              <w:left w:val="nil"/>
              <w:bottom w:val="single" w:sz="4" w:space="0" w:color="auto"/>
              <w:right w:val="single" w:sz="4" w:space="0" w:color="auto"/>
            </w:tcBorders>
            <w:noWrap/>
            <w:vAlign w:val="center"/>
            <w:hideMark/>
          </w:tcPr>
          <w:p w14:paraId="27C6E6D5"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OPĆINA OPRTALJ</w:t>
            </w:r>
          </w:p>
        </w:tc>
        <w:tc>
          <w:tcPr>
            <w:tcW w:w="3260" w:type="dxa"/>
            <w:tcBorders>
              <w:top w:val="nil"/>
              <w:left w:val="nil"/>
              <w:bottom w:val="single" w:sz="4" w:space="0" w:color="auto"/>
              <w:right w:val="single" w:sz="4" w:space="0" w:color="auto"/>
            </w:tcBorders>
            <w:vAlign w:val="center"/>
            <w:hideMark/>
          </w:tcPr>
          <w:p w14:paraId="14923EC4" w14:textId="77777777" w:rsidR="00B31BA7" w:rsidRPr="00B31BA7" w:rsidRDefault="00B31BA7" w:rsidP="00FF0D7E">
            <w:pPr>
              <w:spacing w:after="0" w:line="240" w:lineRule="auto"/>
              <w:rPr>
                <w:rFonts w:ascii="Times New Roman" w:hAnsi="Times New Roman"/>
                <w:color w:val="000000"/>
                <w:sz w:val="18"/>
                <w:szCs w:val="18"/>
              </w:rPr>
            </w:pPr>
            <w:r w:rsidRPr="00B31BA7">
              <w:rPr>
                <w:rFonts w:ascii="Times New Roman" w:hAnsi="Times New Roman"/>
                <w:color w:val="000000"/>
                <w:sz w:val="18"/>
                <w:szCs w:val="18"/>
              </w:rPr>
              <w:t>VLASNIČKA TUŽBA</w:t>
            </w:r>
          </w:p>
        </w:tc>
        <w:tc>
          <w:tcPr>
            <w:tcW w:w="1178" w:type="dxa"/>
            <w:tcBorders>
              <w:top w:val="nil"/>
              <w:left w:val="nil"/>
              <w:bottom w:val="single" w:sz="4" w:space="0" w:color="auto"/>
              <w:right w:val="single" w:sz="4" w:space="0" w:color="auto"/>
            </w:tcBorders>
            <w:noWrap/>
            <w:vAlign w:val="center"/>
            <w:hideMark/>
          </w:tcPr>
          <w:p w14:paraId="497EA052"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555,00</w:t>
            </w:r>
          </w:p>
        </w:tc>
        <w:tc>
          <w:tcPr>
            <w:tcW w:w="1519" w:type="dxa"/>
            <w:tcBorders>
              <w:top w:val="nil"/>
              <w:left w:val="nil"/>
              <w:bottom w:val="single" w:sz="4" w:space="0" w:color="auto"/>
              <w:right w:val="single" w:sz="4" w:space="0" w:color="auto"/>
            </w:tcBorders>
            <w:vAlign w:val="center"/>
            <w:hideMark/>
          </w:tcPr>
          <w:p w14:paraId="19D94FB2"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03.12.2025.</w:t>
            </w:r>
          </w:p>
        </w:tc>
        <w:tc>
          <w:tcPr>
            <w:tcW w:w="1131" w:type="dxa"/>
            <w:tcBorders>
              <w:top w:val="nil"/>
              <w:left w:val="nil"/>
              <w:bottom w:val="single" w:sz="4" w:space="0" w:color="auto"/>
              <w:right w:val="single" w:sz="4" w:space="0" w:color="auto"/>
            </w:tcBorders>
            <w:vAlign w:val="center"/>
            <w:hideMark/>
          </w:tcPr>
          <w:p w14:paraId="40D31457"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555,00</w:t>
            </w:r>
          </w:p>
        </w:tc>
        <w:tc>
          <w:tcPr>
            <w:tcW w:w="1116" w:type="dxa"/>
            <w:tcBorders>
              <w:top w:val="nil"/>
              <w:left w:val="nil"/>
              <w:bottom w:val="single" w:sz="4" w:space="0" w:color="auto"/>
              <w:right w:val="single" w:sz="4" w:space="0" w:color="auto"/>
            </w:tcBorders>
            <w:vAlign w:val="center"/>
            <w:hideMark/>
          </w:tcPr>
          <w:p w14:paraId="7CC01BAD" w14:textId="77777777" w:rsidR="00B31BA7" w:rsidRPr="00B31BA7" w:rsidRDefault="00B31BA7" w:rsidP="00FF0D7E">
            <w:pPr>
              <w:spacing w:after="0" w:line="240" w:lineRule="auto"/>
              <w:jc w:val="right"/>
              <w:rPr>
                <w:rFonts w:ascii="Times New Roman" w:hAnsi="Times New Roman"/>
                <w:color w:val="000000"/>
                <w:sz w:val="18"/>
                <w:szCs w:val="18"/>
              </w:rPr>
            </w:pPr>
            <w:r w:rsidRPr="00B31BA7">
              <w:rPr>
                <w:rFonts w:ascii="Times New Roman" w:hAnsi="Times New Roman"/>
                <w:color w:val="000000"/>
                <w:sz w:val="18"/>
                <w:szCs w:val="18"/>
              </w:rPr>
              <w:t> </w:t>
            </w:r>
          </w:p>
        </w:tc>
        <w:tc>
          <w:tcPr>
            <w:tcW w:w="1055" w:type="dxa"/>
            <w:tcBorders>
              <w:top w:val="nil"/>
              <w:left w:val="nil"/>
              <w:bottom w:val="single" w:sz="4" w:space="0" w:color="auto"/>
              <w:right w:val="single" w:sz="4" w:space="0" w:color="auto"/>
            </w:tcBorders>
            <w:vAlign w:val="center"/>
            <w:hideMark/>
          </w:tcPr>
          <w:p w14:paraId="70F2C663" w14:textId="77777777" w:rsidR="00B31BA7" w:rsidRPr="00B31BA7" w:rsidRDefault="00B31BA7" w:rsidP="00FF0D7E">
            <w:pPr>
              <w:spacing w:after="0" w:line="240" w:lineRule="auto"/>
              <w:jc w:val="center"/>
              <w:rPr>
                <w:rFonts w:ascii="Times New Roman" w:hAnsi="Times New Roman"/>
                <w:color w:val="000000"/>
                <w:sz w:val="18"/>
                <w:szCs w:val="18"/>
              </w:rPr>
            </w:pPr>
            <w:r w:rsidRPr="00B31BA7">
              <w:rPr>
                <w:rFonts w:ascii="Times New Roman" w:hAnsi="Times New Roman"/>
                <w:color w:val="000000"/>
                <w:sz w:val="18"/>
                <w:szCs w:val="18"/>
              </w:rPr>
              <w:t>kraj 2028.</w:t>
            </w:r>
          </w:p>
        </w:tc>
        <w:tc>
          <w:tcPr>
            <w:tcW w:w="1486" w:type="dxa"/>
            <w:gridSpan w:val="2"/>
            <w:vMerge/>
            <w:tcBorders>
              <w:top w:val="nil"/>
              <w:left w:val="single" w:sz="4" w:space="0" w:color="auto"/>
              <w:bottom w:val="single" w:sz="4" w:space="0" w:color="000000"/>
              <w:right w:val="single" w:sz="4" w:space="0" w:color="auto"/>
            </w:tcBorders>
            <w:vAlign w:val="center"/>
            <w:hideMark/>
          </w:tcPr>
          <w:p w14:paraId="2CB1BEA0" w14:textId="77777777" w:rsidR="00B31BA7" w:rsidRPr="00B31BA7" w:rsidRDefault="00B31BA7" w:rsidP="00FF0D7E">
            <w:pPr>
              <w:spacing w:after="0" w:line="240" w:lineRule="auto"/>
              <w:rPr>
                <w:rFonts w:ascii="Times New Roman" w:hAnsi="Times New Roman"/>
                <w:color w:val="000000"/>
                <w:sz w:val="18"/>
                <w:szCs w:val="18"/>
              </w:rPr>
            </w:pPr>
          </w:p>
        </w:tc>
      </w:tr>
    </w:tbl>
    <w:p w14:paraId="31A37ECA" w14:textId="77777777" w:rsidR="00B31BA7" w:rsidRDefault="00B31BA7" w:rsidP="00CD1A47">
      <w:pPr>
        <w:jc w:val="both"/>
        <w:rPr>
          <w:rFonts w:ascii="Times New Roman" w:hAnsi="Times New Roman"/>
          <w:sz w:val="24"/>
          <w:szCs w:val="24"/>
          <w:lang w:eastAsia="en-US"/>
        </w:rPr>
      </w:pPr>
    </w:p>
    <w:sectPr w:rsidR="00B31BA7" w:rsidSect="00B31BA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0D5E7" w14:textId="77777777" w:rsidR="00DC3927" w:rsidRDefault="00DC3927" w:rsidP="008568C8">
      <w:pPr>
        <w:spacing w:after="0" w:line="240" w:lineRule="auto"/>
      </w:pPr>
      <w:r>
        <w:separator/>
      </w:r>
    </w:p>
  </w:endnote>
  <w:endnote w:type="continuationSeparator" w:id="0">
    <w:p w14:paraId="27B7973C" w14:textId="77777777" w:rsidR="00DC3927" w:rsidRDefault="00DC3927" w:rsidP="0085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703576"/>
      <w:docPartObj>
        <w:docPartGallery w:val="Page Numbers (Bottom of Page)"/>
        <w:docPartUnique/>
      </w:docPartObj>
    </w:sdtPr>
    <w:sdtEndPr/>
    <w:sdtContent>
      <w:p w14:paraId="7DD77030" w14:textId="7AE5F98D" w:rsidR="007D3E89" w:rsidRDefault="007D3E89">
        <w:pPr>
          <w:pStyle w:val="Footer"/>
          <w:jc w:val="right"/>
        </w:pPr>
        <w:r>
          <w:fldChar w:fldCharType="begin"/>
        </w:r>
        <w:r>
          <w:instrText>PAGE   \* MERGEFORMAT</w:instrText>
        </w:r>
        <w:r>
          <w:fldChar w:fldCharType="separate"/>
        </w:r>
        <w:r w:rsidR="009B6E54">
          <w:rPr>
            <w:noProof/>
          </w:rPr>
          <w:t>1</w:t>
        </w:r>
        <w:r>
          <w:fldChar w:fldCharType="end"/>
        </w:r>
      </w:p>
    </w:sdtContent>
  </w:sdt>
  <w:p w14:paraId="2A76C548" w14:textId="77777777" w:rsidR="007D3E89" w:rsidRDefault="007D3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264043"/>
      <w:docPartObj>
        <w:docPartGallery w:val="Page Numbers (Bottom of Page)"/>
        <w:docPartUnique/>
      </w:docPartObj>
    </w:sdtPr>
    <w:sdtEndPr/>
    <w:sdtContent>
      <w:p w14:paraId="76EA46DF" w14:textId="77777777" w:rsidR="007D3E89" w:rsidRDefault="007D3E89">
        <w:pPr>
          <w:pStyle w:val="Footer"/>
          <w:jc w:val="right"/>
        </w:pPr>
        <w:r>
          <w:fldChar w:fldCharType="begin"/>
        </w:r>
        <w:r>
          <w:instrText>PAGE   \* MERGEFORMAT</w:instrText>
        </w:r>
        <w:r>
          <w:fldChar w:fldCharType="separate"/>
        </w:r>
        <w:r w:rsidR="009B6E54">
          <w:rPr>
            <w:noProof/>
          </w:rPr>
          <w:t>27</w:t>
        </w:r>
        <w:r>
          <w:fldChar w:fldCharType="end"/>
        </w:r>
      </w:p>
    </w:sdtContent>
  </w:sdt>
  <w:p w14:paraId="14ADDCAA" w14:textId="77777777" w:rsidR="007D3E89" w:rsidRDefault="007D3E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07813"/>
      <w:docPartObj>
        <w:docPartGallery w:val="Page Numbers (Bottom of Page)"/>
        <w:docPartUnique/>
      </w:docPartObj>
    </w:sdtPr>
    <w:sdtEndPr/>
    <w:sdtContent>
      <w:p w14:paraId="73A935F7" w14:textId="77777777" w:rsidR="007D3E89" w:rsidRDefault="007D3E89">
        <w:pPr>
          <w:pStyle w:val="Footer"/>
          <w:jc w:val="right"/>
        </w:pPr>
        <w:r>
          <w:fldChar w:fldCharType="begin"/>
        </w:r>
        <w:r>
          <w:instrText>PAGE   \* MERGEFORMAT</w:instrText>
        </w:r>
        <w:r>
          <w:fldChar w:fldCharType="separate"/>
        </w:r>
        <w:r w:rsidR="009B6E54">
          <w:rPr>
            <w:noProof/>
          </w:rPr>
          <w:t>42</w:t>
        </w:r>
        <w:r>
          <w:fldChar w:fldCharType="end"/>
        </w:r>
      </w:p>
    </w:sdtContent>
  </w:sdt>
  <w:p w14:paraId="3D88369F" w14:textId="77777777" w:rsidR="007D3E89" w:rsidRDefault="007D3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9C528" w14:textId="77777777" w:rsidR="00DC3927" w:rsidRDefault="00DC3927" w:rsidP="008568C8">
      <w:pPr>
        <w:spacing w:after="0" w:line="240" w:lineRule="auto"/>
      </w:pPr>
      <w:r>
        <w:separator/>
      </w:r>
    </w:p>
  </w:footnote>
  <w:footnote w:type="continuationSeparator" w:id="0">
    <w:p w14:paraId="2EF110FD" w14:textId="77777777" w:rsidR="00DC3927" w:rsidRDefault="00DC3927" w:rsidP="00856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CC7"/>
    <w:multiLevelType w:val="multilevel"/>
    <w:tmpl w:val="7A40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77DA4"/>
    <w:multiLevelType w:val="hybridMultilevel"/>
    <w:tmpl w:val="96FCCA6A"/>
    <w:lvl w:ilvl="0" w:tplc="041A000D">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11FB71EC"/>
    <w:multiLevelType w:val="hybridMultilevel"/>
    <w:tmpl w:val="73EA59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1911B6"/>
    <w:multiLevelType w:val="hybridMultilevel"/>
    <w:tmpl w:val="57B654B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4E2125"/>
    <w:multiLevelType w:val="hybridMultilevel"/>
    <w:tmpl w:val="74182924"/>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E4C7AF4"/>
    <w:multiLevelType w:val="hybridMultilevel"/>
    <w:tmpl w:val="56B271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351B3E"/>
    <w:multiLevelType w:val="hybridMultilevel"/>
    <w:tmpl w:val="A914F47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104ECF"/>
    <w:multiLevelType w:val="hybridMultilevel"/>
    <w:tmpl w:val="65CA71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036A38"/>
    <w:multiLevelType w:val="hybridMultilevel"/>
    <w:tmpl w:val="8F2868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A759B7"/>
    <w:multiLevelType w:val="hybridMultilevel"/>
    <w:tmpl w:val="1F265F72"/>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3B061DBB"/>
    <w:multiLevelType w:val="hybridMultilevel"/>
    <w:tmpl w:val="A6C6AB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D54BE0"/>
    <w:multiLevelType w:val="hybridMultilevel"/>
    <w:tmpl w:val="0D2C95E2"/>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2" w15:restartNumberingAfterBreak="0">
    <w:nsid w:val="442324A0"/>
    <w:multiLevelType w:val="hybridMultilevel"/>
    <w:tmpl w:val="A20E6A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A0167D"/>
    <w:multiLevelType w:val="hybridMultilevel"/>
    <w:tmpl w:val="F306DF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2819D7"/>
    <w:multiLevelType w:val="hybridMultilevel"/>
    <w:tmpl w:val="0674FC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7E3B51"/>
    <w:multiLevelType w:val="multilevel"/>
    <w:tmpl w:val="BABE7A54"/>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6" w15:restartNumberingAfterBreak="0">
    <w:nsid w:val="50D245E6"/>
    <w:multiLevelType w:val="hybridMultilevel"/>
    <w:tmpl w:val="8E5E59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637ED4"/>
    <w:multiLevelType w:val="hybridMultilevel"/>
    <w:tmpl w:val="A0904A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68755B"/>
    <w:multiLevelType w:val="hybridMultilevel"/>
    <w:tmpl w:val="EA428C3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CB0A39"/>
    <w:multiLevelType w:val="multilevel"/>
    <w:tmpl w:val="A45A8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57501E"/>
    <w:multiLevelType w:val="hybridMultilevel"/>
    <w:tmpl w:val="CC9885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774187"/>
    <w:multiLevelType w:val="hybridMultilevel"/>
    <w:tmpl w:val="2708DB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90B6C"/>
    <w:multiLevelType w:val="hybridMultilevel"/>
    <w:tmpl w:val="A2E0E78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740592"/>
    <w:multiLevelType w:val="hybridMultilevel"/>
    <w:tmpl w:val="0414C6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EB7AB9"/>
    <w:multiLevelType w:val="hybridMultilevel"/>
    <w:tmpl w:val="389632DA"/>
    <w:lvl w:ilvl="0" w:tplc="5D38C24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B37BB0"/>
    <w:multiLevelType w:val="hybridMultilevel"/>
    <w:tmpl w:val="616CDBEE"/>
    <w:lvl w:ilvl="0" w:tplc="2454022A">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76183DBA"/>
    <w:multiLevelType w:val="multilevel"/>
    <w:tmpl w:val="B5C4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73EC9"/>
    <w:multiLevelType w:val="hybridMultilevel"/>
    <w:tmpl w:val="B9D0CEAE"/>
    <w:lvl w:ilvl="0" w:tplc="96A0E16C">
      <w:start w:val="1"/>
      <w:numFmt w:val="bullet"/>
      <w:lvlText w:val="•"/>
      <w:lvlJc w:val="left"/>
      <w:pPr>
        <w:tabs>
          <w:tab w:val="num" w:pos="720"/>
        </w:tabs>
        <w:ind w:left="720" w:hanging="360"/>
      </w:pPr>
      <w:rPr>
        <w:rFonts w:ascii="Times New Roman" w:hAnsi="Times New Roman" w:hint="default"/>
      </w:rPr>
    </w:lvl>
    <w:lvl w:ilvl="1" w:tplc="86E2FDEE" w:tentative="1">
      <w:start w:val="1"/>
      <w:numFmt w:val="bullet"/>
      <w:lvlText w:val="•"/>
      <w:lvlJc w:val="left"/>
      <w:pPr>
        <w:tabs>
          <w:tab w:val="num" w:pos="1440"/>
        </w:tabs>
        <w:ind w:left="1440" w:hanging="360"/>
      </w:pPr>
      <w:rPr>
        <w:rFonts w:ascii="Times New Roman" w:hAnsi="Times New Roman" w:hint="default"/>
      </w:rPr>
    </w:lvl>
    <w:lvl w:ilvl="2" w:tplc="4CBAF8DC" w:tentative="1">
      <w:start w:val="1"/>
      <w:numFmt w:val="bullet"/>
      <w:lvlText w:val="•"/>
      <w:lvlJc w:val="left"/>
      <w:pPr>
        <w:tabs>
          <w:tab w:val="num" w:pos="2160"/>
        </w:tabs>
        <w:ind w:left="2160" w:hanging="360"/>
      </w:pPr>
      <w:rPr>
        <w:rFonts w:ascii="Times New Roman" w:hAnsi="Times New Roman" w:hint="default"/>
      </w:rPr>
    </w:lvl>
    <w:lvl w:ilvl="3" w:tplc="B18CC4E4" w:tentative="1">
      <w:start w:val="1"/>
      <w:numFmt w:val="bullet"/>
      <w:lvlText w:val="•"/>
      <w:lvlJc w:val="left"/>
      <w:pPr>
        <w:tabs>
          <w:tab w:val="num" w:pos="2880"/>
        </w:tabs>
        <w:ind w:left="2880" w:hanging="360"/>
      </w:pPr>
      <w:rPr>
        <w:rFonts w:ascii="Times New Roman" w:hAnsi="Times New Roman" w:hint="default"/>
      </w:rPr>
    </w:lvl>
    <w:lvl w:ilvl="4" w:tplc="1CA8C884" w:tentative="1">
      <w:start w:val="1"/>
      <w:numFmt w:val="bullet"/>
      <w:lvlText w:val="•"/>
      <w:lvlJc w:val="left"/>
      <w:pPr>
        <w:tabs>
          <w:tab w:val="num" w:pos="3600"/>
        </w:tabs>
        <w:ind w:left="3600" w:hanging="360"/>
      </w:pPr>
      <w:rPr>
        <w:rFonts w:ascii="Times New Roman" w:hAnsi="Times New Roman" w:hint="default"/>
      </w:rPr>
    </w:lvl>
    <w:lvl w:ilvl="5" w:tplc="2ACC2C0E" w:tentative="1">
      <w:start w:val="1"/>
      <w:numFmt w:val="bullet"/>
      <w:lvlText w:val="•"/>
      <w:lvlJc w:val="left"/>
      <w:pPr>
        <w:tabs>
          <w:tab w:val="num" w:pos="4320"/>
        </w:tabs>
        <w:ind w:left="4320" w:hanging="360"/>
      </w:pPr>
      <w:rPr>
        <w:rFonts w:ascii="Times New Roman" w:hAnsi="Times New Roman" w:hint="default"/>
      </w:rPr>
    </w:lvl>
    <w:lvl w:ilvl="6" w:tplc="6546B256" w:tentative="1">
      <w:start w:val="1"/>
      <w:numFmt w:val="bullet"/>
      <w:lvlText w:val="•"/>
      <w:lvlJc w:val="left"/>
      <w:pPr>
        <w:tabs>
          <w:tab w:val="num" w:pos="5040"/>
        </w:tabs>
        <w:ind w:left="5040" w:hanging="360"/>
      </w:pPr>
      <w:rPr>
        <w:rFonts w:ascii="Times New Roman" w:hAnsi="Times New Roman" w:hint="default"/>
      </w:rPr>
    </w:lvl>
    <w:lvl w:ilvl="7" w:tplc="2DEADBCC" w:tentative="1">
      <w:start w:val="1"/>
      <w:numFmt w:val="bullet"/>
      <w:lvlText w:val="•"/>
      <w:lvlJc w:val="left"/>
      <w:pPr>
        <w:tabs>
          <w:tab w:val="num" w:pos="5760"/>
        </w:tabs>
        <w:ind w:left="5760" w:hanging="360"/>
      </w:pPr>
      <w:rPr>
        <w:rFonts w:ascii="Times New Roman" w:hAnsi="Times New Roman" w:hint="default"/>
      </w:rPr>
    </w:lvl>
    <w:lvl w:ilvl="8" w:tplc="BE3C954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E81714A"/>
    <w:multiLevelType w:val="hybridMultilevel"/>
    <w:tmpl w:val="FDE4C500"/>
    <w:lvl w:ilvl="0" w:tplc="370E6FD0">
      <w:start w:val="1"/>
      <w:numFmt w:val="bullet"/>
      <w:lvlText w:val="•"/>
      <w:lvlJc w:val="left"/>
      <w:pPr>
        <w:tabs>
          <w:tab w:val="num" w:pos="720"/>
        </w:tabs>
        <w:ind w:left="720" w:hanging="360"/>
      </w:pPr>
      <w:rPr>
        <w:rFonts w:ascii="Times New Roman" w:hAnsi="Times New Roman" w:hint="default"/>
      </w:rPr>
    </w:lvl>
    <w:lvl w:ilvl="1" w:tplc="EE78F7C8" w:tentative="1">
      <w:start w:val="1"/>
      <w:numFmt w:val="bullet"/>
      <w:lvlText w:val="•"/>
      <w:lvlJc w:val="left"/>
      <w:pPr>
        <w:tabs>
          <w:tab w:val="num" w:pos="1440"/>
        </w:tabs>
        <w:ind w:left="1440" w:hanging="360"/>
      </w:pPr>
      <w:rPr>
        <w:rFonts w:ascii="Times New Roman" w:hAnsi="Times New Roman" w:hint="default"/>
      </w:rPr>
    </w:lvl>
    <w:lvl w:ilvl="2" w:tplc="56D6C784" w:tentative="1">
      <w:start w:val="1"/>
      <w:numFmt w:val="bullet"/>
      <w:lvlText w:val="•"/>
      <w:lvlJc w:val="left"/>
      <w:pPr>
        <w:tabs>
          <w:tab w:val="num" w:pos="2160"/>
        </w:tabs>
        <w:ind w:left="2160" w:hanging="360"/>
      </w:pPr>
      <w:rPr>
        <w:rFonts w:ascii="Times New Roman" w:hAnsi="Times New Roman" w:hint="default"/>
      </w:rPr>
    </w:lvl>
    <w:lvl w:ilvl="3" w:tplc="85989DAA" w:tentative="1">
      <w:start w:val="1"/>
      <w:numFmt w:val="bullet"/>
      <w:lvlText w:val="•"/>
      <w:lvlJc w:val="left"/>
      <w:pPr>
        <w:tabs>
          <w:tab w:val="num" w:pos="2880"/>
        </w:tabs>
        <w:ind w:left="2880" w:hanging="360"/>
      </w:pPr>
      <w:rPr>
        <w:rFonts w:ascii="Times New Roman" w:hAnsi="Times New Roman" w:hint="default"/>
      </w:rPr>
    </w:lvl>
    <w:lvl w:ilvl="4" w:tplc="1616AAD6" w:tentative="1">
      <w:start w:val="1"/>
      <w:numFmt w:val="bullet"/>
      <w:lvlText w:val="•"/>
      <w:lvlJc w:val="left"/>
      <w:pPr>
        <w:tabs>
          <w:tab w:val="num" w:pos="3600"/>
        </w:tabs>
        <w:ind w:left="3600" w:hanging="360"/>
      </w:pPr>
      <w:rPr>
        <w:rFonts w:ascii="Times New Roman" w:hAnsi="Times New Roman" w:hint="default"/>
      </w:rPr>
    </w:lvl>
    <w:lvl w:ilvl="5" w:tplc="67C2E00E" w:tentative="1">
      <w:start w:val="1"/>
      <w:numFmt w:val="bullet"/>
      <w:lvlText w:val="•"/>
      <w:lvlJc w:val="left"/>
      <w:pPr>
        <w:tabs>
          <w:tab w:val="num" w:pos="4320"/>
        </w:tabs>
        <w:ind w:left="4320" w:hanging="360"/>
      </w:pPr>
      <w:rPr>
        <w:rFonts w:ascii="Times New Roman" w:hAnsi="Times New Roman" w:hint="default"/>
      </w:rPr>
    </w:lvl>
    <w:lvl w:ilvl="6" w:tplc="FF8C4440" w:tentative="1">
      <w:start w:val="1"/>
      <w:numFmt w:val="bullet"/>
      <w:lvlText w:val="•"/>
      <w:lvlJc w:val="left"/>
      <w:pPr>
        <w:tabs>
          <w:tab w:val="num" w:pos="5040"/>
        </w:tabs>
        <w:ind w:left="5040" w:hanging="360"/>
      </w:pPr>
      <w:rPr>
        <w:rFonts w:ascii="Times New Roman" w:hAnsi="Times New Roman" w:hint="default"/>
      </w:rPr>
    </w:lvl>
    <w:lvl w:ilvl="7" w:tplc="C466F636" w:tentative="1">
      <w:start w:val="1"/>
      <w:numFmt w:val="bullet"/>
      <w:lvlText w:val="•"/>
      <w:lvlJc w:val="left"/>
      <w:pPr>
        <w:tabs>
          <w:tab w:val="num" w:pos="5760"/>
        </w:tabs>
        <w:ind w:left="5760" w:hanging="360"/>
      </w:pPr>
      <w:rPr>
        <w:rFonts w:ascii="Times New Roman" w:hAnsi="Times New Roman" w:hint="default"/>
      </w:rPr>
    </w:lvl>
    <w:lvl w:ilvl="8" w:tplc="276EEF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FAB23D7"/>
    <w:multiLevelType w:val="hybridMultilevel"/>
    <w:tmpl w:val="4ED224A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9"/>
  </w:num>
  <w:num w:numId="4">
    <w:abstractNumId w:val="10"/>
  </w:num>
  <w:num w:numId="5">
    <w:abstractNumId w:val="23"/>
  </w:num>
  <w:num w:numId="6">
    <w:abstractNumId w:val="9"/>
  </w:num>
  <w:num w:numId="7">
    <w:abstractNumId w:val="11"/>
  </w:num>
  <w:num w:numId="8">
    <w:abstractNumId w:val="4"/>
  </w:num>
  <w:num w:numId="9">
    <w:abstractNumId w:val="17"/>
  </w:num>
  <w:num w:numId="10">
    <w:abstractNumId w:val="15"/>
  </w:num>
  <w:num w:numId="11">
    <w:abstractNumId w:val="21"/>
  </w:num>
  <w:num w:numId="12">
    <w:abstractNumId w:val="27"/>
  </w:num>
  <w:num w:numId="13">
    <w:abstractNumId w:val="28"/>
  </w:num>
  <w:num w:numId="14">
    <w:abstractNumId w:val="1"/>
  </w:num>
  <w:num w:numId="15">
    <w:abstractNumId w:val="6"/>
  </w:num>
  <w:num w:numId="16">
    <w:abstractNumId w:val="13"/>
  </w:num>
  <w:num w:numId="17">
    <w:abstractNumId w:val="20"/>
  </w:num>
  <w:num w:numId="18">
    <w:abstractNumId w:val="8"/>
  </w:num>
  <w:num w:numId="19">
    <w:abstractNumId w:val="22"/>
  </w:num>
  <w:num w:numId="20">
    <w:abstractNumId w:val="5"/>
  </w:num>
  <w:num w:numId="21">
    <w:abstractNumId w:val="25"/>
  </w:num>
  <w:num w:numId="22">
    <w:abstractNumId w:val="7"/>
  </w:num>
  <w:num w:numId="23">
    <w:abstractNumId w:val="3"/>
  </w:num>
  <w:num w:numId="24">
    <w:abstractNumId w:val="2"/>
  </w:num>
  <w:num w:numId="25">
    <w:abstractNumId w:val="19"/>
  </w:num>
  <w:num w:numId="26">
    <w:abstractNumId w:val="12"/>
  </w:num>
  <w:num w:numId="27">
    <w:abstractNumId w:val="26"/>
  </w:num>
  <w:num w:numId="28">
    <w:abstractNumId w:val="0"/>
  </w:num>
  <w:num w:numId="29">
    <w:abstractNumId w:val="18"/>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D9"/>
    <w:rsid w:val="000029B6"/>
    <w:rsid w:val="00002B32"/>
    <w:rsid w:val="00002BDF"/>
    <w:rsid w:val="00004C94"/>
    <w:rsid w:val="00005EBC"/>
    <w:rsid w:val="00007EF0"/>
    <w:rsid w:val="00007FD2"/>
    <w:rsid w:val="0001012D"/>
    <w:rsid w:val="0001060A"/>
    <w:rsid w:val="000116FC"/>
    <w:rsid w:val="00013C4B"/>
    <w:rsid w:val="00016A61"/>
    <w:rsid w:val="000179D2"/>
    <w:rsid w:val="00020F46"/>
    <w:rsid w:val="00022DD3"/>
    <w:rsid w:val="00024400"/>
    <w:rsid w:val="000247FA"/>
    <w:rsid w:val="00024B83"/>
    <w:rsid w:val="00027C0D"/>
    <w:rsid w:val="00027CE9"/>
    <w:rsid w:val="00032E3B"/>
    <w:rsid w:val="00034E63"/>
    <w:rsid w:val="000366F7"/>
    <w:rsid w:val="0004109C"/>
    <w:rsid w:val="00041E01"/>
    <w:rsid w:val="0004259F"/>
    <w:rsid w:val="000465CE"/>
    <w:rsid w:val="000470A4"/>
    <w:rsid w:val="000512D9"/>
    <w:rsid w:val="00053751"/>
    <w:rsid w:val="00053D4B"/>
    <w:rsid w:val="000570F7"/>
    <w:rsid w:val="00060DAD"/>
    <w:rsid w:val="0006208D"/>
    <w:rsid w:val="00062FF9"/>
    <w:rsid w:val="0006312B"/>
    <w:rsid w:val="00064F00"/>
    <w:rsid w:val="00065750"/>
    <w:rsid w:val="00065D53"/>
    <w:rsid w:val="000675AA"/>
    <w:rsid w:val="00074E85"/>
    <w:rsid w:val="00077174"/>
    <w:rsid w:val="000803E4"/>
    <w:rsid w:val="00081CD9"/>
    <w:rsid w:val="00083EBE"/>
    <w:rsid w:val="00084A1B"/>
    <w:rsid w:val="000852F8"/>
    <w:rsid w:val="000914F4"/>
    <w:rsid w:val="000953C3"/>
    <w:rsid w:val="00095443"/>
    <w:rsid w:val="000A0CC0"/>
    <w:rsid w:val="000A3BD2"/>
    <w:rsid w:val="000A574B"/>
    <w:rsid w:val="000A7169"/>
    <w:rsid w:val="000B0A0D"/>
    <w:rsid w:val="000B2366"/>
    <w:rsid w:val="000B6355"/>
    <w:rsid w:val="000B726A"/>
    <w:rsid w:val="000C1D24"/>
    <w:rsid w:val="000C2823"/>
    <w:rsid w:val="000C3B90"/>
    <w:rsid w:val="000C3CF5"/>
    <w:rsid w:val="000C4593"/>
    <w:rsid w:val="000C4C9D"/>
    <w:rsid w:val="000C5DD2"/>
    <w:rsid w:val="000D08BA"/>
    <w:rsid w:val="000D1F86"/>
    <w:rsid w:val="000D3F32"/>
    <w:rsid w:val="000E39A4"/>
    <w:rsid w:val="000E6327"/>
    <w:rsid w:val="000F5468"/>
    <w:rsid w:val="000F57D6"/>
    <w:rsid w:val="000F6464"/>
    <w:rsid w:val="000F7DD0"/>
    <w:rsid w:val="0010218D"/>
    <w:rsid w:val="001026E5"/>
    <w:rsid w:val="00102FB9"/>
    <w:rsid w:val="00103604"/>
    <w:rsid w:val="00105D53"/>
    <w:rsid w:val="0010686B"/>
    <w:rsid w:val="0011004E"/>
    <w:rsid w:val="001128A1"/>
    <w:rsid w:val="00112F35"/>
    <w:rsid w:val="00115A5F"/>
    <w:rsid w:val="00121E6A"/>
    <w:rsid w:val="00121F56"/>
    <w:rsid w:val="001248DC"/>
    <w:rsid w:val="0012502E"/>
    <w:rsid w:val="00125931"/>
    <w:rsid w:val="00126C6C"/>
    <w:rsid w:val="00131EC7"/>
    <w:rsid w:val="001353B2"/>
    <w:rsid w:val="00141CFF"/>
    <w:rsid w:val="00146DC8"/>
    <w:rsid w:val="00150376"/>
    <w:rsid w:val="001509E1"/>
    <w:rsid w:val="00155892"/>
    <w:rsid w:val="00156F62"/>
    <w:rsid w:val="00157871"/>
    <w:rsid w:val="00160105"/>
    <w:rsid w:val="00161F1F"/>
    <w:rsid w:val="001639B0"/>
    <w:rsid w:val="00163FEE"/>
    <w:rsid w:val="0016487E"/>
    <w:rsid w:val="00166685"/>
    <w:rsid w:val="00166CD6"/>
    <w:rsid w:val="00167318"/>
    <w:rsid w:val="0017334D"/>
    <w:rsid w:val="00175BAE"/>
    <w:rsid w:val="0017644D"/>
    <w:rsid w:val="00180329"/>
    <w:rsid w:val="00180E9E"/>
    <w:rsid w:val="00183FF2"/>
    <w:rsid w:val="00184D51"/>
    <w:rsid w:val="001870D6"/>
    <w:rsid w:val="001948A1"/>
    <w:rsid w:val="001949E5"/>
    <w:rsid w:val="001969EC"/>
    <w:rsid w:val="00196AEC"/>
    <w:rsid w:val="001A6922"/>
    <w:rsid w:val="001B1F06"/>
    <w:rsid w:val="001B3970"/>
    <w:rsid w:val="001B52FB"/>
    <w:rsid w:val="001B565E"/>
    <w:rsid w:val="001B6B79"/>
    <w:rsid w:val="001C09A9"/>
    <w:rsid w:val="001C4018"/>
    <w:rsid w:val="001C4D1C"/>
    <w:rsid w:val="001C5151"/>
    <w:rsid w:val="001C598F"/>
    <w:rsid w:val="001C605E"/>
    <w:rsid w:val="001D143D"/>
    <w:rsid w:val="001E2A2A"/>
    <w:rsid w:val="001E33EB"/>
    <w:rsid w:val="001E4B8F"/>
    <w:rsid w:val="001E719B"/>
    <w:rsid w:val="001E74EB"/>
    <w:rsid w:val="001F3751"/>
    <w:rsid w:val="00201915"/>
    <w:rsid w:val="0020374A"/>
    <w:rsid w:val="002053B7"/>
    <w:rsid w:val="00206663"/>
    <w:rsid w:val="00206FEF"/>
    <w:rsid w:val="0021169E"/>
    <w:rsid w:val="00213F53"/>
    <w:rsid w:val="00216563"/>
    <w:rsid w:val="00216D1A"/>
    <w:rsid w:val="00217246"/>
    <w:rsid w:val="00221879"/>
    <w:rsid w:val="002218FC"/>
    <w:rsid w:val="002234AE"/>
    <w:rsid w:val="00225BE5"/>
    <w:rsid w:val="00226195"/>
    <w:rsid w:val="00226674"/>
    <w:rsid w:val="002279C0"/>
    <w:rsid w:val="00230731"/>
    <w:rsid w:val="00230E4F"/>
    <w:rsid w:val="002310DA"/>
    <w:rsid w:val="0023367D"/>
    <w:rsid w:val="00233F94"/>
    <w:rsid w:val="00237633"/>
    <w:rsid w:val="00241009"/>
    <w:rsid w:val="00241C7E"/>
    <w:rsid w:val="00246BA0"/>
    <w:rsid w:val="00247F91"/>
    <w:rsid w:val="00254C67"/>
    <w:rsid w:val="002611DE"/>
    <w:rsid w:val="00264C37"/>
    <w:rsid w:val="002659E3"/>
    <w:rsid w:val="00266526"/>
    <w:rsid w:val="00272222"/>
    <w:rsid w:val="00273F4C"/>
    <w:rsid w:val="00281E4F"/>
    <w:rsid w:val="00282DFD"/>
    <w:rsid w:val="00285801"/>
    <w:rsid w:val="00292854"/>
    <w:rsid w:val="00292EB1"/>
    <w:rsid w:val="0029380C"/>
    <w:rsid w:val="00294BF8"/>
    <w:rsid w:val="002A0A8D"/>
    <w:rsid w:val="002A1C62"/>
    <w:rsid w:val="002A31F9"/>
    <w:rsid w:val="002A50B8"/>
    <w:rsid w:val="002A6861"/>
    <w:rsid w:val="002A734C"/>
    <w:rsid w:val="002B0651"/>
    <w:rsid w:val="002B30D2"/>
    <w:rsid w:val="002B33EA"/>
    <w:rsid w:val="002B4991"/>
    <w:rsid w:val="002B518E"/>
    <w:rsid w:val="002B7773"/>
    <w:rsid w:val="002B7ACE"/>
    <w:rsid w:val="002C187D"/>
    <w:rsid w:val="002C5710"/>
    <w:rsid w:val="002D2682"/>
    <w:rsid w:val="002D3B2A"/>
    <w:rsid w:val="002D4AE1"/>
    <w:rsid w:val="002D4E20"/>
    <w:rsid w:val="002D61DE"/>
    <w:rsid w:val="002E173E"/>
    <w:rsid w:val="002E1F67"/>
    <w:rsid w:val="002E4519"/>
    <w:rsid w:val="002E4666"/>
    <w:rsid w:val="002E5A5A"/>
    <w:rsid w:val="002E618D"/>
    <w:rsid w:val="002E6625"/>
    <w:rsid w:val="002E6F01"/>
    <w:rsid w:val="002E79C8"/>
    <w:rsid w:val="002E79FF"/>
    <w:rsid w:val="002F4053"/>
    <w:rsid w:val="002F6026"/>
    <w:rsid w:val="002F673D"/>
    <w:rsid w:val="002F7056"/>
    <w:rsid w:val="002F74A1"/>
    <w:rsid w:val="003009BF"/>
    <w:rsid w:val="00303645"/>
    <w:rsid w:val="00303D8E"/>
    <w:rsid w:val="003043AE"/>
    <w:rsid w:val="003055DE"/>
    <w:rsid w:val="00307A84"/>
    <w:rsid w:val="00310457"/>
    <w:rsid w:val="00314028"/>
    <w:rsid w:val="003141DA"/>
    <w:rsid w:val="00314F94"/>
    <w:rsid w:val="003201E6"/>
    <w:rsid w:val="00320B91"/>
    <w:rsid w:val="00322380"/>
    <w:rsid w:val="00326C40"/>
    <w:rsid w:val="003279AB"/>
    <w:rsid w:val="003324B0"/>
    <w:rsid w:val="00333682"/>
    <w:rsid w:val="00334D15"/>
    <w:rsid w:val="003407C4"/>
    <w:rsid w:val="00340FD3"/>
    <w:rsid w:val="00341364"/>
    <w:rsid w:val="00343E93"/>
    <w:rsid w:val="00345298"/>
    <w:rsid w:val="00347AC0"/>
    <w:rsid w:val="003508A2"/>
    <w:rsid w:val="003542CB"/>
    <w:rsid w:val="0035600A"/>
    <w:rsid w:val="00360AFE"/>
    <w:rsid w:val="003617A7"/>
    <w:rsid w:val="003630C8"/>
    <w:rsid w:val="003636F5"/>
    <w:rsid w:val="00363AE8"/>
    <w:rsid w:val="003644FD"/>
    <w:rsid w:val="00365477"/>
    <w:rsid w:val="003656D2"/>
    <w:rsid w:val="00365EFA"/>
    <w:rsid w:val="00367D94"/>
    <w:rsid w:val="003728A3"/>
    <w:rsid w:val="00380D49"/>
    <w:rsid w:val="00380E46"/>
    <w:rsid w:val="00383D69"/>
    <w:rsid w:val="00384C57"/>
    <w:rsid w:val="00387273"/>
    <w:rsid w:val="003875F8"/>
    <w:rsid w:val="003876A8"/>
    <w:rsid w:val="00387B02"/>
    <w:rsid w:val="00390810"/>
    <w:rsid w:val="003909C9"/>
    <w:rsid w:val="00393675"/>
    <w:rsid w:val="0039466E"/>
    <w:rsid w:val="003947FA"/>
    <w:rsid w:val="00397182"/>
    <w:rsid w:val="003A144D"/>
    <w:rsid w:val="003A174C"/>
    <w:rsid w:val="003A235D"/>
    <w:rsid w:val="003A540F"/>
    <w:rsid w:val="003A58D6"/>
    <w:rsid w:val="003A6500"/>
    <w:rsid w:val="003B0996"/>
    <w:rsid w:val="003B2770"/>
    <w:rsid w:val="003B2C80"/>
    <w:rsid w:val="003B2DF6"/>
    <w:rsid w:val="003B2E36"/>
    <w:rsid w:val="003B35F8"/>
    <w:rsid w:val="003B3750"/>
    <w:rsid w:val="003B41A4"/>
    <w:rsid w:val="003B41AF"/>
    <w:rsid w:val="003B554C"/>
    <w:rsid w:val="003C34AF"/>
    <w:rsid w:val="003C5E9E"/>
    <w:rsid w:val="003C6405"/>
    <w:rsid w:val="003D1492"/>
    <w:rsid w:val="003D57F4"/>
    <w:rsid w:val="003D5AC7"/>
    <w:rsid w:val="003D5D1A"/>
    <w:rsid w:val="003D5FE1"/>
    <w:rsid w:val="003D6D58"/>
    <w:rsid w:val="003D766D"/>
    <w:rsid w:val="003E0E22"/>
    <w:rsid w:val="003E19C7"/>
    <w:rsid w:val="003E6AB4"/>
    <w:rsid w:val="003E71F4"/>
    <w:rsid w:val="003F1182"/>
    <w:rsid w:val="003F19CD"/>
    <w:rsid w:val="003F1BD9"/>
    <w:rsid w:val="003F5A40"/>
    <w:rsid w:val="004011B1"/>
    <w:rsid w:val="00401AAD"/>
    <w:rsid w:val="0040346A"/>
    <w:rsid w:val="0040387A"/>
    <w:rsid w:val="00404A98"/>
    <w:rsid w:val="00405F04"/>
    <w:rsid w:val="004103AA"/>
    <w:rsid w:val="004115C2"/>
    <w:rsid w:val="00412D86"/>
    <w:rsid w:val="00413B7C"/>
    <w:rsid w:val="004143AF"/>
    <w:rsid w:val="00414473"/>
    <w:rsid w:val="004152EF"/>
    <w:rsid w:val="00421BC3"/>
    <w:rsid w:val="004222C5"/>
    <w:rsid w:val="00424171"/>
    <w:rsid w:val="00426B4C"/>
    <w:rsid w:val="00431617"/>
    <w:rsid w:val="00432BEF"/>
    <w:rsid w:val="00432DC2"/>
    <w:rsid w:val="00435269"/>
    <w:rsid w:val="00435C7B"/>
    <w:rsid w:val="0044540D"/>
    <w:rsid w:val="004469B2"/>
    <w:rsid w:val="004503F0"/>
    <w:rsid w:val="0045102F"/>
    <w:rsid w:val="004552F8"/>
    <w:rsid w:val="00455E76"/>
    <w:rsid w:val="0045606D"/>
    <w:rsid w:val="00460F41"/>
    <w:rsid w:val="00461658"/>
    <w:rsid w:val="00462C60"/>
    <w:rsid w:val="00464126"/>
    <w:rsid w:val="0046413E"/>
    <w:rsid w:val="00466023"/>
    <w:rsid w:val="004663C5"/>
    <w:rsid w:val="00466875"/>
    <w:rsid w:val="00470557"/>
    <w:rsid w:val="00470781"/>
    <w:rsid w:val="00476ACD"/>
    <w:rsid w:val="00477E39"/>
    <w:rsid w:val="00480111"/>
    <w:rsid w:val="004827F8"/>
    <w:rsid w:val="00484565"/>
    <w:rsid w:val="00484D2D"/>
    <w:rsid w:val="00492D3E"/>
    <w:rsid w:val="0049331F"/>
    <w:rsid w:val="0049341C"/>
    <w:rsid w:val="004935DE"/>
    <w:rsid w:val="00494BDF"/>
    <w:rsid w:val="004965C4"/>
    <w:rsid w:val="004977D1"/>
    <w:rsid w:val="00497E37"/>
    <w:rsid w:val="004A2EA3"/>
    <w:rsid w:val="004A3978"/>
    <w:rsid w:val="004A4875"/>
    <w:rsid w:val="004A7EBB"/>
    <w:rsid w:val="004B1B50"/>
    <w:rsid w:val="004B43B6"/>
    <w:rsid w:val="004B6EFA"/>
    <w:rsid w:val="004B7147"/>
    <w:rsid w:val="004B77B8"/>
    <w:rsid w:val="004C30A6"/>
    <w:rsid w:val="004C6C7E"/>
    <w:rsid w:val="004C74BD"/>
    <w:rsid w:val="004D1AC6"/>
    <w:rsid w:val="004D2D21"/>
    <w:rsid w:val="004D340D"/>
    <w:rsid w:val="004D386A"/>
    <w:rsid w:val="004D52C0"/>
    <w:rsid w:val="004D79EC"/>
    <w:rsid w:val="004D7C59"/>
    <w:rsid w:val="004E301B"/>
    <w:rsid w:val="004E307D"/>
    <w:rsid w:val="004E3201"/>
    <w:rsid w:val="004E3860"/>
    <w:rsid w:val="004E3D0D"/>
    <w:rsid w:val="004E4614"/>
    <w:rsid w:val="004E5513"/>
    <w:rsid w:val="004E7142"/>
    <w:rsid w:val="004F3A8D"/>
    <w:rsid w:val="004F3B21"/>
    <w:rsid w:val="00500A10"/>
    <w:rsid w:val="0050250A"/>
    <w:rsid w:val="00504422"/>
    <w:rsid w:val="0050473E"/>
    <w:rsid w:val="00504919"/>
    <w:rsid w:val="00505BFC"/>
    <w:rsid w:val="005167FA"/>
    <w:rsid w:val="00516AC2"/>
    <w:rsid w:val="00523A12"/>
    <w:rsid w:val="0052738A"/>
    <w:rsid w:val="00532E50"/>
    <w:rsid w:val="005338D2"/>
    <w:rsid w:val="00533E74"/>
    <w:rsid w:val="00536D4E"/>
    <w:rsid w:val="00537ED2"/>
    <w:rsid w:val="005449A4"/>
    <w:rsid w:val="00544A1E"/>
    <w:rsid w:val="005450EC"/>
    <w:rsid w:val="0055171B"/>
    <w:rsid w:val="005527B8"/>
    <w:rsid w:val="00553A6C"/>
    <w:rsid w:val="00554B7D"/>
    <w:rsid w:val="00557B20"/>
    <w:rsid w:val="0056010D"/>
    <w:rsid w:val="00564EDF"/>
    <w:rsid w:val="00565ECF"/>
    <w:rsid w:val="005710E6"/>
    <w:rsid w:val="00572581"/>
    <w:rsid w:val="00572AF1"/>
    <w:rsid w:val="005748A3"/>
    <w:rsid w:val="00576876"/>
    <w:rsid w:val="00581D8A"/>
    <w:rsid w:val="00582C9B"/>
    <w:rsid w:val="005830A6"/>
    <w:rsid w:val="00586368"/>
    <w:rsid w:val="00591770"/>
    <w:rsid w:val="00592D1B"/>
    <w:rsid w:val="00593F03"/>
    <w:rsid w:val="00595B4F"/>
    <w:rsid w:val="00595BF4"/>
    <w:rsid w:val="005967C2"/>
    <w:rsid w:val="00596F0C"/>
    <w:rsid w:val="005A1392"/>
    <w:rsid w:val="005A45A6"/>
    <w:rsid w:val="005A4E77"/>
    <w:rsid w:val="005C15D6"/>
    <w:rsid w:val="005C1ACE"/>
    <w:rsid w:val="005C3D92"/>
    <w:rsid w:val="005C4937"/>
    <w:rsid w:val="005C51DF"/>
    <w:rsid w:val="005C78E0"/>
    <w:rsid w:val="005D34F4"/>
    <w:rsid w:val="005D47DB"/>
    <w:rsid w:val="005D6A6F"/>
    <w:rsid w:val="005D6D15"/>
    <w:rsid w:val="005D7453"/>
    <w:rsid w:val="005D74B7"/>
    <w:rsid w:val="005E0B39"/>
    <w:rsid w:val="005E19F4"/>
    <w:rsid w:val="005E220D"/>
    <w:rsid w:val="005E3A28"/>
    <w:rsid w:val="005E4CC8"/>
    <w:rsid w:val="005E5C16"/>
    <w:rsid w:val="005E6862"/>
    <w:rsid w:val="005F014C"/>
    <w:rsid w:val="005F056B"/>
    <w:rsid w:val="005F6984"/>
    <w:rsid w:val="005F6A99"/>
    <w:rsid w:val="0060060E"/>
    <w:rsid w:val="00601E52"/>
    <w:rsid w:val="0060245B"/>
    <w:rsid w:val="006028FF"/>
    <w:rsid w:val="00606A63"/>
    <w:rsid w:val="006132E2"/>
    <w:rsid w:val="00617ABE"/>
    <w:rsid w:val="00617D29"/>
    <w:rsid w:val="00620AE0"/>
    <w:rsid w:val="00622107"/>
    <w:rsid w:val="00622C86"/>
    <w:rsid w:val="00623BDE"/>
    <w:rsid w:val="0063075D"/>
    <w:rsid w:val="00631058"/>
    <w:rsid w:val="00631AF5"/>
    <w:rsid w:val="006336E1"/>
    <w:rsid w:val="006345F7"/>
    <w:rsid w:val="00636DD4"/>
    <w:rsid w:val="00641C04"/>
    <w:rsid w:val="00643240"/>
    <w:rsid w:val="00653295"/>
    <w:rsid w:val="00656C56"/>
    <w:rsid w:val="00657228"/>
    <w:rsid w:val="0066091F"/>
    <w:rsid w:val="006644FF"/>
    <w:rsid w:val="006646A0"/>
    <w:rsid w:val="00664D88"/>
    <w:rsid w:val="0066501B"/>
    <w:rsid w:val="00665217"/>
    <w:rsid w:val="0066629F"/>
    <w:rsid w:val="00667018"/>
    <w:rsid w:val="00667868"/>
    <w:rsid w:val="0067104F"/>
    <w:rsid w:val="00672DB2"/>
    <w:rsid w:val="00676D82"/>
    <w:rsid w:val="00677AB3"/>
    <w:rsid w:val="00677C2E"/>
    <w:rsid w:val="0068515B"/>
    <w:rsid w:val="00685D88"/>
    <w:rsid w:val="00685F8B"/>
    <w:rsid w:val="0068677D"/>
    <w:rsid w:val="00686EEA"/>
    <w:rsid w:val="0069015A"/>
    <w:rsid w:val="00690BC9"/>
    <w:rsid w:val="00692DC9"/>
    <w:rsid w:val="006931CD"/>
    <w:rsid w:val="006951D9"/>
    <w:rsid w:val="00695C98"/>
    <w:rsid w:val="00696C6B"/>
    <w:rsid w:val="006977B6"/>
    <w:rsid w:val="00697DDF"/>
    <w:rsid w:val="006A4B66"/>
    <w:rsid w:val="006A6724"/>
    <w:rsid w:val="006A739B"/>
    <w:rsid w:val="006B102C"/>
    <w:rsid w:val="006B3413"/>
    <w:rsid w:val="006B7E13"/>
    <w:rsid w:val="006C02F6"/>
    <w:rsid w:val="006C1A01"/>
    <w:rsid w:val="006C2F08"/>
    <w:rsid w:val="006C59C0"/>
    <w:rsid w:val="006C5FC1"/>
    <w:rsid w:val="006C7E17"/>
    <w:rsid w:val="006D102D"/>
    <w:rsid w:val="006D341D"/>
    <w:rsid w:val="006D5041"/>
    <w:rsid w:val="006D69F6"/>
    <w:rsid w:val="006D741D"/>
    <w:rsid w:val="006E1A0A"/>
    <w:rsid w:val="006E252D"/>
    <w:rsid w:val="006E266E"/>
    <w:rsid w:val="006E2E5C"/>
    <w:rsid w:val="006E7832"/>
    <w:rsid w:val="006F19EF"/>
    <w:rsid w:val="006F20D2"/>
    <w:rsid w:val="006F27D8"/>
    <w:rsid w:val="006F28A5"/>
    <w:rsid w:val="006F2A50"/>
    <w:rsid w:val="006F4445"/>
    <w:rsid w:val="006F4829"/>
    <w:rsid w:val="006F4E1F"/>
    <w:rsid w:val="006F4E97"/>
    <w:rsid w:val="006F753A"/>
    <w:rsid w:val="007003D3"/>
    <w:rsid w:val="00700E4A"/>
    <w:rsid w:val="0070323F"/>
    <w:rsid w:val="00704249"/>
    <w:rsid w:val="00711484"/>
    <w:rsid w:val="0071191E"/>
    <w:rsid w:val="00713EBD"/>
    <w:rsid w:val="007160D9"/>
    <w:rsid w:val="0072372A"/>
    <w:rsid w:val="007244BC"/>
    <w:rsid w:val="007276BC"/>
    <w:rsid w:val="00727D35"/>
    <w:rsid w:val="00730924"/>
    <w:rsid w:val="0073296D"/>
    <w:rsid w:val="0073683C"/>
    <w:rsid w:val="007435CC"/>
    <w:rsid w:val="0074397A"/>
    <w:rsid w:val="007451C3"/>
    <w:rsid w:val="007513C2"/>
    <w:rsid w:val="00752E70"/>
    <w:rsid w:val="007534EA"/>
    <w:rsid w:val="00755EAF"/>
    <w:rsid w:val="00756365"/>
    <w:rsid w:val="00756F57"/>
    <w:rsid w:val="0075720A"/>
    <w:rsid w:val="007573CB"/>
    <w:rsid w:val="00757978"/>
    <w:rsid w:val="00760018"/>
    <w:rsid w:val="007624FF"/>
    <w:rsid w:val="00762A75"/>
    <w:rsid w:val="007659AB"/>
    <w:rsid w:val="00767552"/>
    <w:rsid w:val="00767AE0"/>
    <w:rsid w:val="007710E3"/>
    <w:rsid w:val="00771274"/>
    <w:rsid w:val="0077297F"/>
    <w:rsid w:val="007764BE"/>
    <w:rsid w:val="007767F7"/>
    <w:rsid w:val="00782114"/>
    <w:rsid w:val="00783321"/>
    <w:rsid w:val="00783746"/>
    <w:rsid w:val="00785B92"/>
    <w:rsid w:val="00791459"/>
    <w:rsid w:val="00791891"/>
    <w:rsid w:val="0079303B"/>
    <w:rsid w:val="0079338B"/>
    <w:rsid w:val="00794C41"/>
    <w:rsid w:val="007967DA"/>
    <w:rsid w:val="00797197"/>
    <w:rsid w:val="007972AF"/>
    <w:rsid w:val="007A0D84"/>
    <w:rsid w:val="007A10B6"/>
    <w:rsid w:val="007A1751"/>
    <w:rsid w:val="007A1826"/>
    <w:rsid w:val="007A2486"/>
    <w:rsid w:val="007A38D5"/>
    <w:rsid w:val="007A455C"/>
    <w:rsid w:val="007B0143"/>
    <w:rsid w:val="007B04DA"/>
    <w:rsid w:val="007B13E7"/>
    <w:rsid w:val="007B1C6A"/>
    <w:rsid w:val="007B61E6"/>
    <w:rsid w:val="007B7A7A"/>
    <w:rsid w:val="007C3637"/>
    <w:rsid w:val="007C476C"/>
    <w:rsid w:val="007C5589"/>
    <w:rsid w:val="007C58F8"/>
    <w:rsid w:val="007D2715"/>
    <w:rsid w:val="007D297A"/>
    <w:rsid w:val="007D3109"/>
    <w:rsid w:val="007D3E89"/>
    <w:rsid w:val="007D5B27"/>
    <w:rsid w:val="007D6CF3"/>
    <w:rsid w:val="007D76F7"/>
    <w:rsid w:val="007E0B51"/>
    <w:rsid w:val="007E1DEA"/>
    <w:rsid w:val="007E30F3"/>
    <w:rsid w:val="007E375F"/>
    <w:rsid w:val="007E5109"/>
    <w:rsid w:val="007E5BB9"/>
    <w:rsid w:val="007E761E"/>
    <w:rsid w:val="007F01FE"/>
    <w:rsid w:val="007F198F"/>
    <w:rsid w:val="007F2D7C"/>
    <w:rsid w:val="007F3FCB"/>
    <w:rsid w:val="007F6C11"/>
    <w:rsid w:val="007F75F5"/>
    <w:rsid w:val="007F7829"/>
    <w:rsid w:val="007F7B2E"/>
    <w:rsid w:val="007F7D68"/>
    <w:rsid w:val="00801911"/>
    <w:rsid w:val="00802159"/>
    <w:rsid w:val="00803799"/>
    <w:rsid w:val="00807A03"/>
    <w:rsid w:val="00811043"/>
    <w:rsid w:val="00812378"/>
    <w:rsid w:val="0081258E"/>
    <w:rsid w:val="00815700"/>
    <w:rsid w:val="0081690C"/>
    <w:rsid w:val="00816BED"/>
    <w:rsid w:val="00817A78"/>
    <w:rsid w:val="00817E89"/>
    <w:rsid w:val="00820915"/>
    <w:rsid w:val="00821F86"/>
    <w:rsid w:val="008237AD"/>
    <w:rsid w:val="00823B03"/>
    <w:rsid w:val="008252B7"/>
    <w:rsid w:val="00831556"/>
    <w:rsid w:val="00832967"/>
    <w:rsid w:val="00832FD6"/>
    <w:rsid w:val="00834729"/>
    <w:rsid w:val="0084185D"/>
    <w:rsid w:val="00841DA8"/>
    <w:rsid w:val="00842421"/>
    <w:rsid w:val="00843563"/>
    <w:rsid w:val="00846F37"/>
    <w:rsid w:val="00847578"/>
    <w:rsid w:val="008476B8"/>
    <w:rsid w:val="00851CB5"/>
    <w:rsid w:val="00852F6A"/>
    <w:rsid w:val="00855CAA"/>
    <w:rsid w:val="00855D3A"/>
    <w:rsid w:val="00855E26"/>
    <w:rsid w:val="008568C8"/>
    <w:rsid w:val="0086027D"/>
    <w:rsid w:val="00860F7E"/>
    <w:rsid w:val="00863496"/>
    <w:rsid w:val="00864692"/>
    <w:rsid w:val="00867073"/>
    <w:rsid w:val="0087038E"/>
    <w:rsid w:val="0087193B"/>
    <w:rsid w:val="008747B7"/>
    <w:rsid w:val="00874EB2"/>
    <w:rsid w:val="00877D27"/>
    <w:rsid w:val="00880C40"/>
    <w:rsid w:val="0088138E"/>
    <w:rsid w:val="00885A41"/>
    <w:rsid w:val="0089280F"/>
    <w:rsid w:val="0089290F"/>
    <w:rsid w:val="008941C3"/>
    <w:rsid w:val="00894236"/>
    <w:rsid w:val="008A03A0"/>
    <w:rsid w:val="008A21DC"/>
    <w:rsid w:val="008A6DD2"/>
    <w:rsid w:val="008A6FFE"/>
    <w:rsid w:val="008B0115"/>
    <w:rsid w:val="008B0272"/>
    <w:rsid w:val="008B14EB"/>
    <w:rsid w:val="008B51D2"/>
    <w:rsid w:val="008B66B7"/>
    <w:rsid w:val="008B6715"/>
    <w:rsid w:val="008B7AA0"/>
    <w:rsid w:val="008C0558"/>
    <w:rsid w:val="008C264F"/>
    <w:rsid w:val="008D28D6"/>
    <w:rsid w:val="008D3517"/>
    <w:rsid w:val="008D4FB2"/>
    <w:rsid w:val="008D57BD"/>
    <w:rsid w:val="008E28E9"/>
    <w:rsid w:val="008E338C"/>
    <w:rsid w:val="008E7B26"/>
    <w:rsid w:val="008F0934"/>
    <w:rsid w:val="008F101D"/>
    <w:rsid w:val="008F1231"/>
    <w:rsid w:val="008F13E7"/>
    <w:rsid w:val="008F2CA8"/>
    <w:rsid w:val="008F4384"/>
    <w:rsid w:val="008F473C"/>
    <w:rsid w:val="008F79CE"/>
    <w:rsid w:val="00900D33"/>
    <w:rsid w:val="00901F7C"/>
    <w:rsid w:val="00902A6D"/>
    <w:rsid w:val="00904E30"/>
    <w:rsid w:val="00906E6F"/>
    <w:rsid w:val="00911A94"/>
    <w:rsid w:val="0091227F"/>
    <w:rsid w:val="00913430"/>
    <w:rsid w:val="00914445"/>
    <w:rsid w:val="0091679C"/>
    <w:rsid w:val="00917B63"/>
    <w:rsid w:val="00920FC4"/>
    <w:rsid w:val="00923ADD"/>
    <w:rsid w:val="009267B2"/>
    <w:rsid w:val="00926909"/>
    <w:rsid w:val="00927DBF"/>
    <w:rsid w:val="0093046B"/>
    <w:rsid w:val="00931486"/>
    <w:rsid w:val="00931D1E"/>
    <w:rsid w:val="00935DE1"/>
    <w:rsid w:val="00935FE0"/>
    <w:rsid w:val="00937587"/>
    <w:rsid w:val="00937918"/>
    <w:rsid w:val="00941113"/>
    <w:rsid w:val="009416EF"/>
    <w:rsid w:val="0094575C"/>
    <w:rsid w:val="009459DC"/>
    <w:rsid w:val="00946595"/>
    <w:rsid w:val="00947CCB"/>
    <w:rsid w:val="00950ED6"/>
    <w:rsid w:val="00951C1E"/>
    <w:rsid w:val="00956501"/>
    <w:rsid w:val="0096189A"/>
    <w:rsid w:val="00964492"/>
    <w:rsid w:val="00971954"/>
    <w:rsid w:val="00974169"/>
    <w:rsid w:val="0097484F"/>
    <w:rsid w:val="00976B13"/>
    <w:rsid w:val="00977972"/>
    <w:rsid w:val="00985625"/>
    <w:rsid w:val="00985DDB"/>
    <w:rsid w:val="00986610"/>
    <w:rsid w:val="00990973"/>
    <w:rsid w:val="0099486C"/>
    <w:rsid w:val="00994B30"/>
    <w:rsid w:val="009B6110"/>
    <w:rsid w:val="009B6E54"/>
    <w:rsid w:val="009B77D4"/>
    <w:rsid w:val="009C4C50"/>
    <w:rsid w:val="009C5778"/>
    <w:rsid w:val="009C73CC"/>
    <w:rsid w:val="009D004B"/>
    <w:rsid w:val="009D61E7"/>
    <w:rsid w:val="009E0F6C"/>
    <w:rsid w:val="009E1297"/>
    <w:rsid w:val="009E28D6"/>
    <w:rsid w:val="009E3B22"/>
    <w:rsid w:val="009E4221"/>
    <w:rsid w:val="009E75D2"/>
    <w:rsid w:val="009F2701"/>
    <w:rsid w:val="009F2AFB"/>
    <w:rsid w:val="009F37E1"/>
    <w:rsid w:val="009F66B8"/>
    <w:rsid w:val="00A0123F"/>
    <w:rsid w:val="00A01B30"/>
    <w:rsid w:val="00A01EF4"/>
    <w:rsid w:val="00A03CEC"/>
    <w:rsid w:val="00A046AD"/>
    <w:rsid w:val="00A046E2"/>
    <w:rsid w:val="00A055AD"/>
    <w:rsid w:val="00A0571F"/>
    <w:rsid w:val="00A1249D"/>
    <w:rsid w:val="00A12C54"/>
    <w:rsid w:val="00A17210"/>
    <w:rsid w:val="00A179B3"/>
    <w:rsid w:val="00A21F81"/>
    <w:rsid w:val="00A23A26"/>
    <w:rsid w:val="00A26AA2"/>
    <w:rsid w:val="00A27AF2"/>
    <w:rsid w:val="00A32595"/>
    <w:rsid w:val="00A34AAE"/>
    <w:rsid w:val="00A428FB"/>
    <w:rsid w:val="00A4370B"/>
    <w:rsid w:val="00A44A09"/>
    <w:rsid w:val="00A45D13"/>
    <w:rsid w:val="00A469B8"/>
    <w:rsid w:val="00A47B3A"/>
    <w:rsid w:val="00A525A1"/>
    <w:rsid w:val="00A52BFC"/>
    <w:rsid w:val="00A56628"/>
    <w:rsid w:val="00A6041E"/>
    <w:rsid w:val="00A64911"/>
    <w:rsid w:val="00A65163"/>
    <w:rsid w:val="00A67008"/>
    <w:rsid w:val="00A67999"/>
    <w:rsid w:val="00A737D9"/>
    <w:rsid w:val="00A764BC"/>
    <w:rsid w:val="00A7671F"/>
    <w:rsid w:val="00A767F3"/>
    <w:rsid w:val="00A77E82"/>
    <w:rsid w:val="00A81A87"/>
    <w:rsid w:val="00A81C8B"/>
    <w:rsid w:val="00A8241B"/>
    <w:rsid w:val="00A83C67"/>
    <w:rsid w:val="00A90E73"/>
    <w:rsid w:val="00A947BF"/>
    <w:rsid w:val="00A95BD6"/>
    <w:rsid w:val="00A96A87"/>
    <w:rsid w:val="00A97E89"/>
    <w:rsid w:val="00AA2F78"/>
    <w:rsid w:val="00AA3EFD"/>
    <w:rsid w:val="00AA59C5"/>
    <w:rsid w:val="00AA760B"/>
    <w:rsid w:val="00AA7FBF"/>
    <w:rsid w:val="00AB1884"/>
    <w:rsid w:val="00AB2403"/>
    <w:rsid w:val="00AB4377"/>
    <w:rsid w:val="00AB4871"/>
    <w:rsid w:val="00AB7D34"/>
    <w:rsid w:val="00AC10D8"/>
    <w:rsid w:val="00AC3AE3"/>
    <w:rsid w:val="00AD132F"/>
    <w:rsid w:val="00AD2FBF"/>
    <w:rsid w:val="00AD3483"/>
    <w:rsid w:val="00AD6DB4"/>
    <w:rsid w:val="00AE10F6"/>
    <w:rsid w:val="00AE3B7F"/>
    <w:rsid w:val="00AE4033"/>
    <w:rsid w:val="00AE43E7"/>
    <w:rsid w:val="00AE53BB"/>
    <w:rsid w:val="00AE5B93"/>
    <w:rsid w:val="00AF0DCE"/>
    <w:rsid w:val="00AF5738"/>
    <w:rsid w:val="00AF730E"/>
    <w:rsid w:val="00B00002"/>
    <w:rsid w:val="00B03458"/>
    <w:rsid w:val="00B0512A"/>
    <w:rsid w:val="00B121B2"/>
    <w:rsid w:val="00B127F0"/>
    <w:rsid w:val="00B143D3"/>
    <w:rsid w:val="00B235C6"/>
    <w:rsid w:val="00B267C6"/>
    <w:rsid w:val="00B31BA7"/>
    <w:rsid w:val="00B3344C"/>
    <w:rsid w:val="00B34B48"/>
    <w:rsid w:val="00B356FD"/>
    <w:rsid w:val="00B364F6"/>
    <w:rsid w:val="00B36F54"/>
    <w:rsid w:val="00B41A12"/>
    <w:rsid w:val="00B42CB1"/>
    <w:rsid w:val="00B43B52"/>
    <w:rsid w:val="00B45B4C"/>
    <w:rsid w:val="00B52ABF"/>
    <w:rsid w:val="00B532B0"/>
    <w:rsid w:val="00B5692D"/>
    <w:rsid w:val="00B61BBA"/>
    <w:rsid w:val="00B6261B"/>
    <w:rsid w:val="00B629D0"/>
    <w:rsid w:val="00B64613"/>
    <w:rsid w:val="00B66A0D"/>
    <w:rsid w:val="00B66CEC"/>
    <w:rsid w:val="00B676F2"/>
    <w:rsid w:val="00B67D3D"/>
    <w:rsid w:val="00B72469"/>
    <w:rsid w:val="00B74B44"/>
    <w:rsid w:val="00B771D2"/>
    <w:rsid w:val="00B773E5"/>
    <w:rsid w:val="00B80E26"/>
    <w:rsid w:val="00B83B69"/>
    <w:rsid w:val="00B86105"/>
    <w:rsid w:val="00B86EB2"/>
    <w:rsid w:val="00B87F16"/>
    <w:rsid w:val="00B93319"/>
    <w:rsid w:val="00B95CB0"/>
    <w:rsid w:val="00BA06D2"/>
    <w:rsid w:val="00BA4CC8"/>
    <w:rsid w:val="00BA75DA"/>
    <w:rsid w:val="00BB203A"/>
    <w:rsid w:val="00BB2ADC"/>
    <w:rsid w:val="00BB2CE6"/>
    <w:rsid w:val="00BB7864"/>
    <w:rsid w:val="00BC0838"/>
    <w:rsid w:val="00BC1414"/>
    <w:rsid w:val="00BC479F"/>
    <w:rsid w:val="00BD008D"/>
    <w:rsid w:val="00BD199B"/>
    <w:rsid w:val="00BD3487"/>
    <w:rsid w:val="00BD6FEA"/>
    <w:rsid w:val="00BE127C"/>
    <w:rsid w:val="00BE1839"/>
    <w:rsid w:val="00BE1C15"/>
    <w:rsid w:val="00BE612F"/>
    <w:rsid w:val="00BE7DC5"/>
    <w:rsid w:val="00BF0987"/>
    <w:rsid w:val="00BF1FD9"/>
    <w:rsid w:val="00BF2179"/>
    <w:rsid w:val="00BF33FB"/>
    <w:rsid w:val="00BF6B7D"/>
    <w:rsid w:val="00C04153"/>
    <w:rsid w:val="00C0595C"/>
    <w:rsid w:val="00C05AEA"/>
    <w:rsid w:val="00C0714F"/>
    <w:rsid w:val="00C102B6"/>
    <w:rsid w:val="00C13C15"/>
    <w:rsid w:val="00C16C84"/>
    <w:rsid w:val="00C17240"/>
    <w:rsid w:val="00C17375"/>
    <w:rsid w:val="00C23B1B"/>
    <w:rsid w:val="00C2739B"/>
    <w:rsid w:val="00C30331"/>
    <w:rsid w:val="00C31FC4"/>
    <w:rsid w:val="00C3647D"/>
    <w:rsid w:val="00C417E1"/>
    <w:rsid w:val="00C45ED8"/>
    <w:rsid w:val="00C5337F"/>
    <w:rsid w:val="00C57716"/>
    <w:rsid w:val="00C57A3C"/>
    <w:rsid w:val="00C57CE8"/>
    <w:rsid w:val="00C64082"/>
    <w:rsid w:val="00C66E61"/>
    <w:rsid w:val="00C67CE0"/>
    <w:rsid w:val="00C7185F"/>
    <w:rsid w:val="00C73434"/>
    <w:rsid w:val="00C73E1E"/>
    <w:rsid w:val="00C77D2D"/>
    <w:rsid w:val="00C841F5"/>
    <w:rsid w:val="00C8497E"/>
    <w:rsid w:val="00C84C99"/>
    <w:rsid w:val="00C8569E"/>
    <w:rsid w:val="00C85F76"/>
    <w:rsid w:val="00C8680A"/>
    <w:rsid w:val="00C90936"/>
    <w:rsid w:val="00C91F7B"/>
    <w:rsid w:val="00C961E6"/>
    <w:rsid w:val="00C97C6B"/>
    <w:rsid w:val="00CA5C45"/>
    <w:rsid w:val="00CB04B9"/>
    <w:rsid w:val="00CB68B5"/>
    <w:rsid w:val="00CC604F"/>
    <w:rsid w:val="00CD0215"/>
    <w:rsid w:val="00CD19CD"/>
    <w:rsid w:val="00CD1A47"/>
    <w:rsid w:val="00CD35B2"/>
    <w:rsid w:val="00CD385A"/>
    <w:rsid w:val="00CE0E8E"/>
    <w:rsid w:val="00CE2C20"/>
    <w:rsid w:val="00CE31F5"/>
    <w:rsid w:val="00CE42CF"/>
    <w:rsid w:val="00CE5CFD"/>
    <w:rsid w:val="00CF359C"/>
    <w:rsid w:val="00CF5B16"/>
    <w:rsid w:val="00CF721E"/>
    <w:rsid w:val="00D02613"/>
    <w:rsid w:val="00D03169"/>
    <w:rsid w:val="00D06BE8"/>
    <w:rsid w:val="00D07A31"/>
    <w:rsid w:val="00D12E4B"/>
    <w:rsid w:val="00D14622"/>
    <w:rsid w:val="00D153C4"/>
    <w:rsid w:val="00D16AF6"/>
    <w:rsid w:val="00D17A33"/>
    <w:rsid w:val="00D27FA0"/>
    <w:rsid w:val="00D30FA2"/>
    <w:rsid w:val="00D31EB3"/>
    <w:rsid w:val="00D349FA"/>
    <w:rsid w:val="00D34E1B"/>
    <w:rsid w:val="00D352C8"/>
    <w:rsid w:val="00D35479"/>
    <w:rsid w:val="00D37D8B"/>
    <w:rsid w:val="00D41109"/>
    <w:rsid w:val="00D42196"/>
    <w:rsid w:val="00D42974"/>
    <w:rsid w:val="00D4488D"/>
    <w:rsid w:val="00D47733"/>
    <w:rsid w:val="00D47A36"/>
    <w:rsid w:val="00D545F8"/>
    <w:rsid w:val="00D62364"/>
    <w:rsid w:val="00D632CE"/>
    <w:rsid w:val="00D63FA8"/>
    <w:rsid w:val="00D63FC8"/>
    <w:rsid w:val="00D641AC"/>
    <w:rsid w:val="00D66D02"/>
    <w:rsid w:val="00D70E8B"/>
    <w:rsid w:val="00D70E9D"/>
    <w:rsid w:val="00D70FA4"/>
    <w:rsid w:val="00D7554E"/>
    <w:rsid w:val="00D75E19"/>
    <w:rsid w:val="00D76BB6"/>
    <w:rsid w:val="00D76DE0"/>
    <w:rsid w:val="00D84DBF"/>
    <w:rsid w:val="00D84E97"/>
    <w:rsid w:val="00D93983"/>
    <w:rsid w:val="00D97022"/>
    <w:rsid w:val="00DA068B"/>
    <w:rsid w:val="00DA0C39"/>
    <w:rsid w:val="00DA54A7"/>
    <w:rsid w:val="00DA587F"/>
    <w:rsid w:val="00DB04C4"/>
    <w:rsid w:val="00DB56FB"/>
    <w:rsid w:val="00DB5C98"/>
    <w:rsid w:val="00DB6ABA"/>
    <w:rsid w:val="00DB6F7C"/>
    <w:rsid w:val="00DC3927"/>
    <w:rsid w:val="00DC4054"/>
    <w:rsid w:val="00DC6AA3"/>
    <w:rsid w:val="00DC7E89"/>
    <w:rsid w:val="00DD0253"/>
    <w:rsid w:val="00DD39F3"/>
    <w:rsid w:val="00DD6ACB"/>
    <w:rsid w:val="00DE6D2B"/>
    <w:rsid w:val="00DF04C7"/>
    <w:rsid w:val="00DF1D87"/>
    <w:rsid w:val="00E00248"/>
    <w:rsid w:val="00E00606"/>
    <w:rsid w:val="00E0480C"/>
    <w:rsid w:val="00E06861"/>
    <w:rsid w:val="00E06EE5"/>
    <w:rsid w:val="00E13BCA"/>
    <w:rsid w:val="00E14382"/>
    <w:rsid w:val="00E16749"/>
    <w:rsid w:val="00E22988"/>
    <w:rsid w:val="00E248C6"/>
    <w:rsid w:val="00E25829"/>
    <w:rsid w:val="00E355E1"/>
    <w:rsid w:val="00E3569C"/>
    <w:rsid w:val="00E35A90"/>
    <w:rsid w:val="00E35ED8"/>
    <w:rsid w:val="00E360A6"/>
    <w:rsid w:val="00E37DB6"/>
    <w:rsid w:val="00E4046E"/>
    <w:rsid w:val="00E40B71"/>
    <w:rsid w:val="00E411C1"/>
    <w:rsid w:val="00E44B9D"/>
    <w:rsid w:val="00E45784"/>
    <w:rsid w:val="00E5478D"/>
    <w:rsid w:val="00E55F08"/>
    <w:rsid w:val="00E56627"/>
    <w:rsid w:val="00E60DE1"/>
    <w:rsid w:val="00E61011"/>
    <w:rsid w:val="00E65D82"/>
    <w:rsid w:val="00E74389"/>
    <w:rsid w:val="00E766C4"/>
    <w:rsid w:val="00E82F3A"/>
    <w:rsid w:val="00E84F8C"/>
    <w:rsid w:val="00E870D9"/>
    <w:rsid w:val="00E93400"/>
    <w:rsid w:val="00E93DFF"/>
    <w:rsid w:val="00E95E80"/>
    <w:rsid w:val="00E964DA"/>
    <w:rsid w:val="00E966B0"/>
    <w:rsid w:val="00EA01B5"/>
    <w:rsid w:val="00EA2D87"/>
    <w:rsid w:val="00EA2DEF"/>
    <w:rsid w:val="00EA313B"/>
    <w:rsid w:val="00EA3EA1"/>
    <w:rsid w:val="00EA4301"/>
    <w:rsid w:val="00EA6C65"/>
    <w:rsid w:val="00EA6CD5"/>
    <w:rsid w:val="00EB1622"/>
    <w:rsid w:val="00EB16A7"/>
    <w:rsid w:val="00EB42F8"/>
    <w:rsid w:val="00EB6058"/>
    <w:rsid w:val="00EB74FA"/>
    <w:rsid w:val="00EB79C0"/>
    <w:rsid w:val="00EC22B6"/>
    <w:rsid w:val="00EC7CA7"/>
    <w:rsid w:val="00ED0A47"/>
    <w:rsid w:val="00ED0D56"/>
    <w:rsid w:val="00ED143A"/>
    <w:rsid w:val="00ED53E6"/>
    <w:rsid w:val="00ED5833"/>
    <w:rsid w:val="00ED7911"/>
    <w:rsid w:val="00EE07C5"/>
    <w:rsid w:val="00EE7040"/>
    <w:rsid w:val="00EE7FBB"/>
    <w:rsid w:val="00EF088A"/>
    <w:rsid w:val="00EF2425"/>
    <w:rsid w:val="00EF279E"/>
    <w:rsid w:val="00EF34C8"/>
    <w:rsid w:val="00EF4D53"/>
    <w:rsid w:val="00EF55F9"/>
    <w:rsid w:val="00EF5793"/>
    <w:rsid w:val="00EF68E1"/>
    <w:rsid w:val="00EF7193"/>
    <w:rsid w:val="00F04451"/>
    <w:rsid w:val="00F072B0"/>
    <w:rsid w:val="00F10507"/>
    <w:rsid w:val="00F1178F"/>
    <w:rsid w:val="00F135A6"/>
    <w:rsid w:val="00F1529F"/>
    <w:rsid w:val="00F2220B"/>
    <w:rsid w:val="00F22961"/>
    <w:rsid w:val="00F23C66"/>
    <w:rsid w:val="00F26B29"/>
    <w:rsid w:val="00F27B64"/>
    <w:rsid w:val="00F30E07"/>
    <w:rsid w:val="00F34170"/>
    <w:rsid w:val="00F34235"/>
    <w:rsid w:val="00F358B0"/>
    <w:rsid w:val="00F40DA6"/>
    <w:rsid w:val="00F439F1"/>
    <w:rsid w:val="00F44A5D"/>
    <w:rsid w:val="00F45B6C"/>
    <w:rsid w:val="00F45DA6"/>
    <w:rsid w:val="00F45E17"/>
    <w:rsid w:val="00F4775C"/>
    <w:rsid w:val="00F50B77"/>
    <w:rsid w:val="00F531E4"/>
    <w:rsid w:val="00F5418B"/>
    <w:rsid w:val="00F560BA"/>
    <w:rsid w:val="00F60ABA"/>
    <w:rsid w:val="00F61A1C"/>
    <w:rsid w:val="00F63313"/>
    <w:rsid w:val="00F64030"/>
    <w:rsid w:val="00F6722E"/>
    <w:rsid w:val="00F71D9A"/>
    <w:rsid w:val="00F77FB1"/>
    <w:rsid w:val="00F81F23"/>
    <w:rsid w:val="00F82CC6"/>
    <w:rsid w:val="00F8349E"/>
    <w:rsid w:val="00F84E82"/>
    <w:rsid w:val="00F84EE5"/>
    <w:rsid w:val="00F85704"/>
    <w:rsid w:val="00F857C0"/>
    <w:rsid w:val="00F85FBE"/>
    <w:rsid w:val="00F91932"/>
    <w:rsid w:val="00F932E9"/>
    <w:rsid w:val="00F93A98"/>
    <w:rsid w:val="00F93DB2"/>
    <w:rsid w:val="00F95755"/>
    <w:rsid w:val="00F95959"/>
    <w:rsid w:val="00F9737E"/>
    <w:rsid w:val="00FA3B64"/>
    <w:rsid w:val="00FA4C55"/>
    <w:rsid w:val="00FA4ED5"/>
    <w:rsid w:val="00FB020A"/>
    <w:rsid w:val="00FB1E81"/>
    <w:rsid w:val="00FB4C8F"/>
    <w:rsid w:val="00FB7282"/>
    <w:rsid w:val="00FC0B7F"/>
    <w:rsid w:val="00FC2BDA"/>
    <w:rsid w:val="00FC38A1"/>
    <w:rsid w:val="00FC4C83"/>
    <w:rsid w:val="00FD08B7"/>
    <w:rsid w:val="00FD39FB"/>
    <w:rsid w:val="00FD51DE"/>
    <w:rsid w:val="00FD72E1"/>
    <w:rsid w:val="00FE0147"/>
    <w:rsid w:val="00FE3F63"/>
    <w:rsid w:val="00FE547A"/>
    <w:rsid w:val="00FE5725"/>
    <w:rsid w:val="00FE577E"/>
    <w:rsid w:val="00FE59B1"/>
    <w:rsid w:val="00FE6210"/>
    <w:rsid w:val="00FE6361"/>
    <w:rsid w:val="00FE7E4A"/>
    <w:rsid w:val="00FF15AB"/>
    <w:rsid w:val="00FF3621"/>
    <w:rsid w:val="00FF38ED"/>
    <w:rsid w:val="00FF5685"/>
    <w:rsid w:val="00FF65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FFC9C"/>
  <w15:docId w15:val="{1AE53363-9BCF-4F3A-BA5F-040DCCA2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BE5"/>
    <w:rPr>
      <w:rFonts w:ascii="Calibri" w:eastAsia="Times New Roman" w:hAnsi="Calibri" w:cs="Times New Roman"/>
      <w:lang w:eastAsia="hr-HR"/>
    </w:rPr>
  </w:style>
  <w:style w:type="paragraph" w:styleId="Heading1">
    <w:name w:val="heading 1"/>
    <w:basedOn w:val="Normal"/>
    <w:next w:val="Normal"/>
    <w:link w:val="Heading1Char"/>
    <w:qFormat/>
    <w:rsid w:val="00053751"/>
    <w:pPr>
      <w:keepNext/>
      <w:spacing w:after="0" w:line="240" w:lineRule="auto"/>
      <w:outlineLvl w:val="0"/>
    </w:pPr>
    <w:rPr>
      <w:rFonts w:ascii="Times New Roman" w:hAnsi="Times New Roman"/>
      <w:b/>
      <w:bCs/>
      <w:sz w:val="24"/>
      <w:szCs w:val="24"/>
    </w:rPr>
  </w:style>
  <w:style w:type="paragraph" w:styleId="Heading4">
    <w:name w:val="heading 4"/>
    <w:basedOn w:val="Normal"/>
    <w:next w:val="Normal"/>
    <w:link w:val="Heading4Char"/>
    <w:uiPriority w:val="9"/>
    <w:semiHidden/>
    <w:unhideWhenUsed/>
    <w:qFormat/>
    <w:rsid w:val="007A175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17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496"/>
    <w:pPr>
      <w:spacing w:before="100" w:beforeAutospacing="1" w:after="100" w:afterAutospacing="1" w:line="240" w:lineRule="auto"/>
    </w:pPr>
    <w:rPr>
      <w:rFonts w:ascii="Arial" w:hAnsi="Arial" w:cs="Arial"/>
      <w:color w:val="000000"/>
      <w:sz w:val="18"/>
      <w:szCs w:val="18"/>
    </w:rPr>
  </w:style>
  <w:style w:type="paragraph" w:styleId="ListParagraph">
    <w:name w:val="List Paragraph"/>
    <w:basedOn w:val="Normal"/>
    <w:uiPriority w:val="34"/>
    <w:qFormat/>
    <w:rsid w:val="00863496"/>
    <w:pPr>
      <w:ind w:left="720"/>
      <w:contextualSpacing/>
    </w:pPr>
  </w:style>
  <w:style w:type="character" w:styleId="Hyperlink">
    <w:name w:val="Hyperlink"/>
    <w:basedOn w:val="DefaultParagraphFont"/>
    <w:uiPriority w:val="99"/>
    <w:unhideWhenUsed/>
    <w:rsid w:val="00414473"/>
    <w:rPr>
      <w:color w:val="0000FF" w:themeColor="hyperlink"/>
      <w:u w:val="single"/>
    </w:rPr>
  </w:style>
  <w:style w:type="paragraph" w:styleId="BalloonText">
    <w:name w:val="Balloon Text"/>
    <w:basedOn w:val="Normal"/>
    <w:link w:val="BalloonTextChar"/>
    <w:uiPriority w:val="99"/>
    <w:semiHidden/>
    <w:unhideWhenUsed/>
    <w:rsid w:val="0011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4E"/>
    <w:rPr>
      <w:rFonts w:ascii="Tahoma" w:eastAsia="Times New Roman" w:hAnsi="Tahoma" w:cs="Tahoma"/>
      <w:sz w:val="16"/>
      <w:szCs w:val="16"/>
      <w:lang w:eastAsia="hr-HR"/>
    </w:rPr>
  </w:style>
  <w:style w:type="paragraph" w:styleId="Header">
    <w:name w:val="header"/>
    <w:basedOn w:val="Normal"/>
    <w:link w:val="HeaderChar"/>
    <w:uiPriority w:val="99"/>
    <w:unhideWhenUsed/>
    <w:rsid w:val="008568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8C8"/>
    <w:rPr>
      <w:rFonts w:ascii="Calibri" w:eastAsia="Times New Roman" w:hAnsi="Calibri" w:cs="Times New Roman"/>
      <w:lang w:eastAsia="hr-HR"/>
    </w:rPr>
  </w:style>
  <w:style w:type="paragraph" w:styleId="Footer">
    <w:name w:val="footer"/>
    <w:basedOn w:val="Normal"/>
    <w:link w:val="FooterChar"/>
    <w:uiPriority w:val="99"/>
    <w:unhideWhenUsed/>
    <w:rsid w:val="00856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8C8"/>
    <w:rPr>
      <w:rFonts w:ascii="Calibri" w:eastAsia="Times New Roman" w:hAnsi="Calibri" w:cs="Times New Roman"/>
      <w:lang w:eastAsia="hr-HR"/>
    </w:rPr>
  </w:style>
  <w:style w:type="paragraph" w:styleId="IntenseQuote">
    <w:name w:val="Intense Quote"/>
    <w:basedOn w:val="Normal"/>
    <w:next w:val="Normal"/>
    <w:link w:val="IntenseQuoteChar"/>
    <w:uiPriority w:val="30"/>
    <w:qFormat/>
    <w:rsid w:val="0037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28A3"/>
    <w:rPr>
      <w:rFonts w:ascii="Calibri" w:eastAsia="Times New Roman" w:hAnsi="Calibri" w:cs="Times New Roman"/>
      <w:b/>
      <w:bCs/>
      <w:i/>
      <w:iCs/>
      <w:color w:val="4F81BD" w:themeColor="accent1"/>
      <w:lang w:eastAsia="hr-HR"/>
    </w:rPr>
  </w:style>
  <w:style w:type="paragraph" w:customStyle="1" w:styleId="Default">
    <w:name w:val="Default"/>
    <w:rsid w:val="007D310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4A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A39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053751"/>
    <w:rPr>
      <w:rFonts w:ascii="Times New Roman" w:eastAsia="Times New Roman" w:hAnsi="Times New Roman" w:cs="Times New Roman"/>
      <w:b/>
      <w:bCs/>
      <w:sz w:val="24"/>
      <w:szCs w:val="24"/>
      <w:lang w:eastAsia="hr-HR"/>
    </w:rPr>
  </w:style>
  <w:style w:type="paragraph" w:styleId="BodyText">
    <w:name w:val="Body Text"/>
    <w:basedOn w:val="Normal"/>
    <w:link w:val="BodyTextChar"/>
    <w:semiHidden/>
    <w:rsid w:val="00B41A12"/>
    <w:pPr>
      <w:spacing w:after="0" w:line="240" w:lineRule="auto"/>
      <w:jc w:val="both"/>
    </w:pPr>
    <w:rPr>
      <w:rFonts w:ascii="Arial" w:eastAsiaTheme="minorEastAsia" w:hAnsi="Arial" w:cs="Arial"/>
      <w:sz w:val="24"/>
      <w:szCs w:val="24"/>
      <w:lang w:eastAsia="en-US"/>
    </w:rPr>
  </w:style>
  <w:style w:type="character" w:customStyle="1" w:styleId="BodyTextChar">
    <w:name w:val="Body Text Char"/>
    <w:basedOn w:val="DefaultParagraphFont"/>
    <w:link w:val="BodyText"/>
    <w:semiHidden/>
    <w:rsid w:val="00B41A12"/>
    <w:rPr>
      <w:rFonts w:ascii="Arial" w:eastAsiaTheme="minorEastAsia" w:hAnsi="Arial" w:cs="Arial"/>
      <w:sz w:val="24"/>
      <w:szCs w:val="24"/>
    </w:rPr>
  </w:style>
  <w:style w:type="paragraph" w:customStyle="1" w:styleId="CM7">
    <w:name w:val="CM7"/>
    <w:basedOn w:val="Normal"/>
    <w:next w:val="Normal"/>
    <w:uiPriority w:val="99"/>
    <w:rsid w:val="00D35479"/>
    <w:pPr>
      <w:widowControl w:val="0"/>
      <w:autoSpaceDE w:val="0"/>
      <w:autoSpaceDN w:val="0"/>
      <w:adjustRightInd w:val="0"/>
      <w:spacing w:after="0" w:line="253" w:lineRule="atLeast"/>
    </w:pPr>
    <w:rPr>
      <w:rFonts w:ascii="Verdana" w:hAnsi="Verdana"/>
      <w:sz w:val="24"/>
      <w:szCs w:val="24"/>
    </w:rPr>
  </w:style>
  <w:style w:type="paragraph" w:styleId="BodyTextIndent2">
    <w:name w:val="Body Text Indent 2"/>
    <w:basedOn w:val="Normal"/>
    <w:link w:val="BodyTextIndent2Char"/>
    <w:uiPriority w:val="99"/>
    <w:unhideWhenUsed/>
    <w:rsid w:val="00D3547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D35479"/>
    <w:rPr>
      <w:rFonts w:ascii="Times New Roman" w:eastAsia="Times New Roman" w:hAnsi="Times New Roman" w:cs="Times New Roman"/>
      <w:sz w:val="24"/>
      <w:szCs w:val="24"/>
      <w:lang w:eastAsia="hr-HR"/>
    </w:rPr>
  </w:style>
  <w:style w:type="paragraph" w:customStyle="1" w:styleId="CM3">
    <w:name w:val="CM3"/>
    <w:basedOn w:val="Default"/>
    <w:next w:val="Default"/>
    <w:uiPriority w:val="99"/>
    <w:rsid w:val="00D35479"/>
    <w:pPr>
      <w:widowControl w:val="0"/>
      <w:spacing w:line="256" w:lineRule="atLeast"/>
    </w:pPr>
    <w:rPr>
      <w:rFonts w:eastAsia="Times New Roman" w:cs="Times New Roman"/>
      <w:color w:val="auto"/>
      <w:lang w:eastAsia="hr-HR"/>
    </w:rPr>
  </w:style>
  <w:style w:type="table" w:styleId="LightShading-Accent3">
    <w:name w:val="Light Shading Accent 3"/>
    <w:basedOn w:val="TableNormal"/>
    <w:uiPriority w:val="60"/>
    <w:rsid w:val="005D74B7"/>
    <w:pPr>
      <w:spacing w:after="0" w:line="240" w:lineRule="auto"/>
    </w:pPr>
    <w:rPr>
      <w:rFonts w:eastAsiaTheme="minorEastAsia"/>
      <w:color w:val="76923C" w:themeColor="accent3" w:themeShade="BF"/>
      <w:lang w:eastAsia="hr-H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ox453054">
    <w:name w:val="box_453054"/>
    <w:basedOn w:val="Normal"/>
    <w:rsid w:val="00657228"/>
    <w:pPr>
      <w:spacing w:before="100" w:beforeAutospacing="1" w:after="225" w:line="240" w:lineRule="auto"/>
    </w:pPr>
    <w:rPr>
      <w:rFonts w:ascii="Times New Roman" w:hAnsi="Times New Roman"/>
      <w:sz w:val="24"/>
      <w:szCs w:val="24"/>
    </w:rPr>
  </w:style>
  <w:style w:type="paragraph" w:styleId="NoSpacing">
    <w:name w:val="No Spacing"/>
    <w:link w:val="NoSpacingChar"/>
    <w:uiPriority w:val="1"/>
    <w:qFormat/>
    <w:rsid w:val="00462C60"/>
    <w:pPr>
      <w:spacing w:after="0" w:line="240" w:lineRule="auto"/>
    </w:pPr>
  </w:style>
  <w:style w:type="character" w:customStyle="1" w:styleId="NoSpacingChar">
    <w:name w:val="No Spacing Char"/>
    <w:basedOn w:val="DefaultParagraphFont"/>
    <w:link w:val="NoSpacing"/>
    <w:uiPriority w:val="1"/>
    <w:locked/>
    <w:rsid w:val="00462C60"/>
  </w:style>
  <w:style w:type="character" w:customStyle="1" w:styleId="med1">
    <w:name w:val="med1"/>
    <w:basedOn w:val="DefaultParagraphFont"/>
    <w:rsid w:val="00A21F81"/>
  </w:style>
  <w:style w:type="paragraph" w:customStyle="1" w:styleId="Standard">
    <w:name w:val="Standard"/>
    <w:rsid w:val="0060060E"/>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table" w:styleId="TableGridLight">
    <w:name w:val="Grid Table Light"/>
    <w:basedOn w:val="TableNormal"/>
    <w:uiPriority w:val="40"/>
    <w:rsid w:val="00950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474667">
    <w:name w:val="box_474667"/>
    <w:basedOn w:val="Normal"/>
    <w:rsid w:val="000470A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C6AA3"/>
    <w:rPr>
      <w:b/>
      <w:bCs/>
    </w:rPr>
  </w:style>
  <w:style w:type="character" w:customStyle="1" w:styleId="Heading4Char">
    <w:name w:val="Heading 4 Char"/>
    <w:basedOn w:val="DefaultParagraphFont"/>
    <w:link w:val="Heading4"/>
    <w:uiPriority w:val="9"/>
    <w:semiHidden/>
    <w:rsid w:val="007A1751"/>
    <w:rPr>
      <w:rFonts w:asciiTheme="majorHAnsi" w:eastAsiaTheme="majorEastAsia" w:hAnsiTheme="majorHAnsi" w:cstheme="majorBidi"/>
      <w:i/>
      <w:iCs/>
      <w:color w:val="365F91" w:themeColor="accent1" w:themeShade="BF"/>
      <w:lang w:eastAsia="hr-HR"/>
    </w:rPr>
  </w:style>
  <w:style w:type="character" w:customStyle="1" w:styleId="Heading5Char">
    <w:name w:val="Heading 5 Char"/>
    <w:basedOn w:val="DefaultParagraphFont"/>
    <w:link w:val="Heading5"/>
    <w:uiPriority w:val="9"/>
    <w:semiHidden/>
    <w:rsid w:val="007A1751"/>
    <w:rPr>
      <w:rFonts w:asciiTheme="majorHAnsi" w:eastAsiaTheme="majorEastAsia" w:hAnsiTheme="majorHAnsi" w:cstheme="majorBidi"/>
      <w:color w:val="365F91" w:themeColor="accent1" w:themeShade="B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92496">
      <w:bodyDiv w:val="1"/>
      <w:marLeft w:val="0"/>
      <w:marRight w:val="0"/>
      <w:marTop w:val="0"/>
      <w:marBottom w:val="0"/>
      <w:divBdr>
        <w:top w:val="none" w:sz="0" w:space="0" w:color="auto"/>
        <w:left w:val="none" w:sz="0" w:space="0" w:color="auto"/>
        <w:bottom w:val="none" w:sz="0" w:space="0" w:color="auto"/>
        <w:right w:val="none" w:sz="0" w:space="0" w:color="auto"/>
      </w:divBdr>
    </w:div>
    <w:div w:id="387340373">
      <w:bodyDiv w:val="1"/>
      <w:marLeft w:val="0"/>
      <w:marRight w:val="0"/>
      <w:marTop w:val="0"/>
      <w:marBottom w:val="0"/>
      <w:divBdr>
        <w:top w:val="none" w:sz="0" w:space="0" w:color="auto"/>
        <w:left w:val="none" w:sz="0" w:space="0" w:color="auto"/>
        <w:bottom w:val="none" w:sz="0" w:space="0" w:color="auto"/>
        <w:right w:val="none" w:sz="0" w:space="0" w:color="auto"/>
      </w:divBdr>
    </w:div>
    <w:div w:id="560793850">
      <w:bodyDiv w:val="1"/>
      <w:marLeft w:val="0"/>
      <w:marRight w:val="0"/>
      <w:marTop w:val="0"/>
      <w:marBottom w:val="0"/>
      <w:divBdr>
        <w:top w:val="none" w:sz="0" w:space="0" w:color="auto"/>
        <w:left w:val="none" w:sz="0" w:space="0" w:color="auto"/>
        <w:bottom w:val="none" w:sz="0" w:space="0" w:color="auto"/>
        <w:right w:val="none" w:sz="0" w:space="0" w:color="auto"/>
      </w:divBdr>
    </w:div>
    <w:div w:id="624432077">
      <w:bodyDiv w:val="1"/>
      <w:marLeft w:val="0"/>
      <w:marRight w:val="0"/>
      <w:marTop w:val="0"/>
      <w:marBottom w:val="0"/>
      <w:divBdr>
        <w:top w:val="none" w:sz="0" w:space="0" w:color="auto"/>
        <w:left w:val="none" w:sz="0" w:space="0" w:color="auto"/>
        <w:bottom w:val="none" w:sz="0" w:space="0" w:color="auto"/>
        <w:right w:val="none" w:sz="0" w:space="0" w:color="auto"/>
      </w:divBdr>
    </w:div>
    <w:div w:id="846024684">
      <w:bodyDiv w:val="1"/>
      <w:marLeft w:val="0"/>
      <w:marRight w:val="0"/>
      <w:marTop w:val="0"/>
      <w:marBottom w:val="0"/>
      <w:divBdr>
        <w:top w:val="none" w:sz="0" w:space="0" w:color="auto"/>
        <w:left w:val="none" w:sz="0" w:space="0" w:color="auto"/>
        <w:bottom w:val="none" w:sz="0" w:space="0" w:color="auto"/>
        <w:right w:val="none" w:sz="0" w:space="0" w:color="auto"/>
      </w:divBdr>
      <w:divsChild>
        <w:div w:id="1866871312">
          <w:marLeft w:val="547"/>
          <w:marRight w:val="0"/>
          <w:marTop w:val="0"/>
          <w:marBottom w:val="0"/>
          <w:divBdr>
            <w:top w:val="none" w:sz="0" w:space="0" w:color="auto"/>
            <w:left w:val="none" w:sz="0" w:space="0" w:color="auto"/>
            <w:bottom w:val="none" w:sz="0" w:space="0" w:color="auto"/>
            <w:right w:val="none" w:sz="0" w:space="0" w:color="auto"/>
          </w:divBdr>
        </w:div>
      </w:divsChild>
    </w:div>
    <w:div w:id="1009913567">
      <w:bodyDiv w:val="1"/>
      <w:marLeft w:val="0"/>
      <w:marRight w:val="0"/>
      <w:marTop w:val="0"/>
      <w:marBottom w:val="0"/>
      <w:divBdr>
        <w:top w:val="none" w:sz="0" w:space="0" w:color="auto"/>
        <w:left w:val="none" w:sz="0" w:space="0" w:color="auto"/>
        <w:bottom w:val="none" w:sz="0" w:space="0" w:color="auto"/>
        <w:right w:val="none" w:sz="0" w:space="0" w:color="auto"/>
      </w:divBdr>
    </w:div>
    <w:div w:id="1015153286">
      <w:bodyDiv w:val="1"/>
      <w:marLeft w:val="0"/>
      <w:marRight w:val="0"/>
      <w:marTop w:val="0"/>
      <w:marBottom w:val="0"/>
      <w:divBdr>
        <w:top w:val="none" w:sz="0" w:space="0" w:color="auto"/>
        <w:left w:val="none" w:sz="0" w:space="0" w:color="auto"/>
        <w:bottom w:val="none" w:sz="0" w:space="0" w:color="auto"/>
        <w:right w:val="none" w:sz="0" w:space="0" w:color="auto"/>
      </w:divBdr>
      <w:divsChild>
        <w:div w:id="1962413849">
          <w:marLeft w:val="547"/>
          <w:marRight w:val="0"/>
          <w:marTop w:val="0"/>
          <w:marBottom w:val="0"/>
          <w:divBdr>
            <w:top w:val="none" w:sz="0" w:space="0" w:color="auto"/>
            <w:left w:val="none" w:sz="0" w:space="0" w:color="auto"/>
            <w:bottom w:val="none" w:sz="0" w:space="0" w:color="auto"/>
            <w:right w:val="none" w:sz="0" w:space="0" w:color="auto"/>
          </w:divBdr>
        </w:div>
      </w:divsChild>
    </w:div>
    <w:div w:id="1025787240">
      <w:bodyDiv w:val="1"/>
      <w:marLeft w:val="0"/>
      <w:marRight w:val="0"/>
      <w:marTop w:val="0"/>
      <w:marBottom w:val="0"/>
      <w:divBdr>
        <w:top w:val="none" w:sz="0" w:space="0" w:color="auto"/>
        <w:left w:val="none" w:sz="0" w:space="0" w:color="auto"/>
        <w:bottom w:val="none" w:sz="0" w:space="0" w:color="auto"/>
        <w:right w:val="none" w:sz="0" w:space="0" w:color="auto"/>
      </w:divBdr>
      <w:divsChild>
        <w:div w:id="1348219138">
          <w:marLeft w:val="547"/>
          <w:marRight w:val="0"/>
          <w:marTop w:val="0"/>
          <w:marBottom w:val="0"/>
          <w:divBdr>
            <w:top w:val="none" w:sz="0" w:space="0" w:color="auto"/>
            <w:left w:val="none" w:sz="0" w:space="0" w:color="auto"/>
            <w:bottom w:val="none" w:sz="0" w:space="0" w:color="auto"/>
            <w:right w:val="none" w:sz="0" w:space="0" w:color="auto"/>
          </w:divBdr>
        </w:div>
      </w:divsChild>
    </w:div>
    <w:div w:id="1165587215">
      <w:bodyDiv w:val="1"/>
      <w:marLeft w:val="0"/>
      <w:marRight w:val="0"/>
      <w:marTop w:val="0"/>
      <w:marBottom w:val="0"/>
      <w:divBdr>
        <w:top w:val="none" w:sz="0" w:space="0" w:color="auto"/>
        <w:left w:val="none" w:sz="0" w:space="0" w:color="auto"/>
        <w:bottom w:val="none" w:sz="0" w:space="0" w:color="auto"/>
        <w:right w:val="none" w:sz="0" w:space="0" w:color="auto"/>
      </w:divBdr>
    </w:div>
    <w:div w:id="1181048524">
      <w:bodyDiv w:val="1"/>
      <w:marLeft w:val="0"/>
      <w:marRight w:val="0"/>
      <w:marTop w:val="0"/>
      <w:marBottom w:val="0"/>
      <w:divBdr>
        <w:top w:val="none" w:sz="0" w:space="0" w:color="auto"/>
        <w:left w:val="none" w:sz="0" w:space="0" w:color="auto"/>
        <w:bottom w:val="none" w:sz="0" w:space="0" w:color="auto"/>
        <w:right w:val="none" w:sz="0" w:space="0" w:color="auto"/>
      </w:divBdr>
    </w:div>
    <w:div w:id="1335180702">
      <w:bodyDiv w:val="1"/>
      <w:marLeft w:val="0"/>
      <w:marRight w:val="0"/>
      <w:marTop w:val="0"/>
      <w:marBottom w:val="0"/>
      <w:divBdr>
        <w:top w:val="none" w:sz="0" w:space="0" w:color="auto"/>
        <w:left w:val="none" w:sz="0" w:space="0" w:color="auto"/>
        <w:bottom w:val="none" w:sz="0" w:space="0" w:color="auto"/>
        <w:right w:val="none" w:sz="0" w:space="0" w:color="auto"/>
      </w:divBdr>
    </w:div>
    <w:div w:id="1356880850">
      <w:bodyDiv w:val="1"/>
      <w:marLeft w:val="0"/>
      <w:marRight w:val="0"/>
      <w:marTop w:val="0"/>
      <w:marBottom w:val="0"/>
      <w:divBdr>
        <w:top w:val="none" w:sz="0" w:space="0" w:color="auto"/>
        <w:left w:val="none" w:sz="0" w:space="0" w:color="auto"/>
        <w:bottom w:val="none" w:sz="0" w:space="0" w:color="auto"/>
        <w:right w:val="none" w:sz="0" w:space="0" w:color="auto"/>
      </w:divBdr>
    </w:div>
    <w:div w:id="1463578564">
      <w:bodyDiv w:val="1"/>
      <w:marLeft w:val="0"/>
      <w:marRight w:val="0"/>
      <w:marTop w:val="0"/>
      <w:marBottom w:val="0"/>
      <w:divBdr>
        <w:top w:val="none" w:sz="0" w:space="0" w:color="auto"/>
        <w:left w:val="none" w:sz="0" w:space="0" w:color="auto"/>
        <w:bottom w:val="none" w:sz="0" w:space="0" w:color="auto"/>
        <w:right w:val="none" w:sz="0" w:space="0" w:color="auto"/>
      </w:divBdr>
    </w:div>
    <w:div w:id="1645547933">
      <w:bodyDiv w:val="1"/>
      <w:marLeft w:val="0"/>
      <w:marRight w:val="0"/>
      <w:marTop w:val="0"/>
      <w:marBottom w:val="0"/>
      <w:divBdr>
        <w:top w:val="none" w:sz="0" w:space="0" w:color="auto"/>
        <w:left w:val="none" w:sz="0" w:space="0" w:color="auto"/>
        <w:bottom w:val="none" w:sz="0" w:space="0" w:color="auto"/>
        <w:right w:val="none" w:sz="0" w:space="0" w:color="auto"/>
      </w:divBdr>
    </w:div>
    <w:div w:id="1711999218">
      <w:bodyDiv w:val="1"/>
      <w:marLeft w:val="0"/>
      <w:marRight w:val="0"/>
      <w:marTop w:val="0"/>
      <w:marBottom w:val="0"/>
      <w:divBdr>
        <w:top w:val="none" w:sz="0" w:space="0" w:color="auto"/>
        <w:left w:val="none" w:sz="0" w:space="0" w:color="auto"/>
        <w:bottom w:val="none" w:sz="0" w:space="0" w:color="auto"/>
        <w:right w:val="none" w:sz="0" w:space="0" w:color="auto"/>
      </w:divBdr>
    </w:div>
    <w:div w:id="1723946054">
      <w:bodyDiv w:val="1"/>
      <w:marLeft w:val="0"/>
      <w:marRight w:val="0"/>
      <w:marTop w:val="0"/>
      <w:marBottom w:val="0"/>
      <w:divBdr>
        <w:top w:val="none" w:sz="0" w:space="0" w:color="auto"/>
        <w:left w:val="none" w:sz="0" w:space="0" w:color="auto"/>
        <w:bottom w:val="none" w:sz="0" w:space="0" w:color="auto"/>
        <w:right w:val="none" w:sz="0" w:space="0" w:color="auto"/>
      </w:divBdr>
    </w:div>
    <w:div w:id="1741442589">
      <w:bodyDiv w:val="1"/>
      <w:marLeft w:val="0"/>
      <w:marRight w:val="0"/>
      <w:marTop w:val="0"/>
      <w:marBottom w:val="0"/>
      <w:divBdr>
        <w:top w:val="none" w:sz="0" w:space="0" w:color="auto"/>
        <w:left w:val="none" w:sz="0" w:space="0" w:color="auto"/>
        <w:bottom w:val="none" w:sz="0" w:space="0" w:color="auto"/>
        <w:right w:val="none" w:sz="0" w:space="0" w:color="auto"/>
      </w:divBdr>
    </w:div>
    <w:div w:id="1752039578">
      <w:bodyDiv w:val="1"/>
      <w:marLeft w:val="0"/>
      <w:marRight w:val="0"/>
      <w:marTop w:val="0"/>
      <w:marBottom w:val="0"/>
      <w:divBdr>
        <w:top w:val="none" w:sz="0" w:space="0" w:color="auto"/>
        <w:left w:val="none" w:sz="0" w:space="0" w:color="auto"/>
        <w:bottom w:val="none" w:sz="0" w:space="0" w:color="auto"/>
        <w:right w:val="none" w:sz="0" w:space="0" w:color="auto"/>
      </w:divBdr>
    </w:div>
    <w:div w:id="1813593257">
      <w:bodyDiv w:val="1"/>
      <w:marLeft w:val="0"/>
      <w:marRight w:val="0"/>
      <w:marTop w:val="0"/>
      <w:marBottom w:val="0"/>
      <w:divBdr>
        <w:top w:val="none" w:sz="0" w:space="0" w:color="auto"/>
        <w:left w:val="none" w:sz="0" w:space="0" w:color="auto"/>
        <w:bottom w:val="none" w:sz="0" w:space="0" w:color="auto"/>
        <w:right w:val="none" w:sz="0" w:space="0" w:color="auto"/>
      </w:divBdr>
    </w:div>
    <w:div w:id="1969779857">
      <w:bodyDiv w:val="1"/>
      <w:marLeft w:val="0"/>
      <w:marRight w:val="0"/>
      <w:marTop w:val="0"/>
      <w:marBottom w:val="0"/>
      <w:divBdr>
        <w:top w:val="none" w:sz="0" w:space="0" w:color="auto"/>
        <w:left w:val="none" w:sz="0" w:space="0" w:color="auto"/>
        <w:bottom w:val="none" w:sz="0" w:space="0" w:color="auto"/>
        <w:right w:val="none" w:sz="0" w:space="0" w:color="auto"/>
      </w:divBdr>
      <w:divsChild>
        <w:div w:id="42872014">
          <w:marLeft w:val="547"/>
          <w:marRight w:val="0"/>
          <w:marTop w:val="0"/>
          <w:marBottom w:val="0"/>
          <w:divBdr>
            <w:top w:val="none" w:sz="0" w:space="0" w:color="auto"/>
            <w:left w:val="none" w:sz="0" w:space="0" w:color="auto"/>
            <w:bottom w:val="none" w:sz="0" w:space="0" w:color="auto"/>
            <w:right w:val="none" w:sz="0" w:space="0" w:color="auto"/>
          </w:divBdr>
        </w:div>
      </w:divsChild>
    </w:div>
    <w:div w:id="2067872608">
      <w:bodyDiv w:val="1"/>
      <w:marLeft w:val="0"/>
      <w:marRight w:val="0"/>
      <w:marTop w:val="0"/>
      <w:marBottom w:val="0"/>
      <w:divBdr>
        <w:top w:val="none" w:sz="0" w:space="0" w:color="auto"/>
        <w:left w:val="none" w:sz="0" w:space="0" w:color="auto"/>
        <w:bottom w:val="none" w:sz="0" w:space="0" w:color="auto"/>
        <w:right w:val="none" w:sz="0" w:space="0" w:color="auto"/>
      </w:divBdr>
    </w:div>
    <w:div w:id="21367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3.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png"/><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risnik\Desktop\Dorjana\Op&#263;ina%20Oprtalj\Plan%202025\Godi&#353;nje%20izvr&#353;enje\Financijski%20podaci\Grafi&#269;ki%20prika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orisnik\Desktop\Dorjana\Op&#263;ina%20Oprtalj\Plan%202025\Godi&#353;nje%20izvr&#353;enje\Financijski%20podaci\Grafi&#269;ki%20prika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hr-HR"/>
              <a:t>Usporedni prikaz realizacije</a:t>
            </a:r>
            <a:r>
              <a:rPr lang="hr-HR" baseline="0"/>
              <a:t> </a:t>
            </a:r>
            <a:r>
              <a:rPr lang="hr-HR"/>
              <a:t>Prihoda i</a:t>
            </a:r>
            <a:r>
              <a:rPr lang="hr-HR" baseline="0"/>
              <a:t> primitaka</a:t>
            </a:r>
            <a:r>
              <a:rPr lang="hr-HR"/>
              <a:t> u </a:t>
            </a:r>
            <a:r>
              <a:rPr lang="hr-HR" sz="1800" b="1" i="0" baseline="0">
                <a:effectLst/>
              </a:rPr>
              <a:t>2025. u odnosu Proračun 2025. te realizaciju za isto razdoblje 2024. godine</a:t>
            </a:r>
            <a:endParaRPr lang="hr-HR">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sr-Latn-RS"/>
        </a:p>
      </c:txPr>
    </c:title>
    <c:autoTitleDeleted val="0"/>
    <c:plotArea>
      <c:layout/>
      <c:barChart>
        <c:barDir val="col"/>
        <c:grouping val="clustered"/>
        <c:varyColors val="0"/>
        <c:ser>
          <c:idx val="2"/>
          <c:order val="0"/>
          <c:tx>
            <c:strRef>
              <c:f>Prihodi!$D$2</c:f>
              <c:strCache>
                <c:ptCount val="1"/>
                <c:pt idx="0">
                  <c:v>Ostvareno  2024.</c:v>
                </c:pt>
              </c:strCache>
            </c:strRef>
          </c:tx>
          <c:spPr>
            <a:solidFill>
              <a:schemeClr val="bg1">
                <a:lumMod val="85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5400000" spcFirstLastPara="1" vertOverflow="ellipsis" wrap="square" anchor="ctr" anchorCtr="1"/>
              <a:lstStyle/>
              <a:p>
                <a:pPr>
                  <a:defRPr sz="1000" b="1"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Prihodi!$B$3:$C$12</c:f>
              <c:multiLvlStrCache>
                <c:ptCount val="10"/>
                <c:lvl>
                  <c:pt idx="0">
                    <c:v>Prihodi od poreza</c:v>
                  </c:pt>
                  <c:pt idx="1">
                    <c:v>Pomoći iz inozemstva (darovnice)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imovine</c:v>
                  </c:pt>
                  <c:pt idx="7">
                    <c:v>Prihodi od prodaje proizvedene dugotrajne imovine</c:v>
                  </c:pt>
                  <c:pt idx="8">
                    <c:v>Primljeni povrati glavnica danih zajmova</c:v>
                  </c:pt>
                  <c:pt idx="9">
                    <c:v>Primici od zaduživanja</c:v>
                  </c:pt>
                </c:lvl>
                <c:lvl>
                  <c:pt idx="0">
                    <c:v>61</c:v>
                  </c:pt>
                  <c:pt idx="1">
                    <c:v>63</c:v>
                  </c:pt>
                  <c:pt idx="2">
                    <c:v>64</c:v>
                  </c:pt>
                  <c:pt idx="3">
                    <c:v>65</c:v>
                  </c:pt>
                  <c:pt idx="4">
                    <c:v>66</c:v>
                  </c:pt>
                  <c:pt idx="5">
                    <c:v>68</c:v>
                  </c:pt>
                  <c:pt idx="6">
                    <c:v>71</c:v>
                  </c:pt>
                  <c:pt idx="7">
                    <c:v>72</c:v>
                  </c:pt>
                  <c:pt idx="8">
                    <c:v>81</c:v>
                  </c:pt>
                  <c:pt idx="9">
                    <c:v>84</c:v>
                  </c:pt>
                </c:lvl>
              </c:multiLvlStrCache>
            </c:multiLvlStrRef>
          </c:cat>
          <c:val>
            <c:numRef>
              <c:f>Prihodi!$D$3:$D$12</c:f>
              <c:numCache>
                <c:formatCode>#,##0.00</c:formatCode>
                <c:ptCount val="10"/>
                <c:pt idx="0">
                  <c:v>518578.25</c:v>
                </c:pt>
                <c:pt idx="1">
                  <c:v>160900.59</c:v>
                </c:pt>
                <c:pt idx="2">
                  <c:v>43543.94</c:v>
                </c:pt>
                <c:pt idx="3">
                  <c:v>335746.97</c:v>
                </c:pt>
                <c:pt idx="4">
                  <c:v>13509.26</c:v>
                </c:pt>
                <c:pt idx="5">
                  <c:v>70.47</c:v>
                </c:pt>
                <c:pt idx="6">
                  <c:v>15112.76</c:v>
                </c:pt>
                <c:pt idx="7">
                  <c:v>47969.68</c:v>
                </c:pt>
                <c:pt idx="8">
                  <c:v>0</c:v>
                </c:pt>
                <c:pt idx="9">
                  <c:v>2615.66</c:v>
                </c:pt>
              </c:numCache>
            </c:numRef>
          </c:val>
          <c:extLst xmlns:c16r2="http://schemas.microsoft.com/office/drawing/2015/06/chart">
            <c:ext xmlns:c16="http://schemas.microsoft.com/office/drawing/2014/chart" uri="{C3380CC4-5D6E-409C-BE32-E72D297353CC}">
              <c16:uniqueId val="{00000000-E97A-40F3-B7F5-648F054A4F7A}"/>
            </c:ext>
          </c:extLst>
        </c:ser>
        <c:ser>
          <c:idx val="0"/>
          <c:order val="1"/>
          <c:tx>
            <c:strRef>
              <c:f>Prihodi!$E$2</c:f>
              <c:strCache>
                <c:ptCount val="1"/>
                <c:pt idx="0">
                  <c:v>Proračun 2025.</c:v>
                </c:pt>
              </c:strCache>
            </c:strRef>
          </c:tx>
          <c:spPr>
            <a:solidFill>
              <a:schemeClr val="accent4">
                <a:lumMod val="40000"/>
                <a:lumOff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5400000" spcFirstLastPara="1" vertOverflow="ellipsis" wrap="square" anchor="ctr" anchorCtr="1"/>
              <a:lstStyle/>
              <a:p>
                <a:pPr>
                  <a:defRPr sz="1000" b="1"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Prihodi!$B$3:$C$12</c:f>
              <c:multiLvlStrCache>
                <c:ptCount val="10"/>
                <c:lvl>
                  <c:pt idx="0">
                    <c:v>Prihodi od poreza</c:v>
                  </c:pt>
                  <c:pt idx="1">
                    <c:v>Pomoći iz inozemstva (darovnice)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imovine</c:v>
                  </c:pt>
                  <c:pt idx="7">
                    <c:v>Prihodi od prodaje proizvedene dugotrajne imovine</c:v>
                  </c:pt>
                  <c:pt idx="8">
                    <c:v>Primljeni povrati glavnica danih zajmova</c:v>
                  </c:pt>
                  <c:pt idx="9">
                    <c:v>Primici od zaduživanja</c:v>
                  </c:pt>
                </c:lvl>
                <c:lvl>
                  <c:pt idx="0">
                    <c:v>61</c:v>
                  </c:pt>
                  <c:pt idx="1">
                    <c:v>63</c:v>
                  </c:pt>
                  <c:pt idx="2">
                    <c:v>64</c:v>
                  </c:pt>
                  <c:pt idx="3">
                    <c:v>65</c:v>
                  </c:pt>
                  <c:pt idx="4">
                    <c:v>66</c:v>
                  </c:pt>
                  <c:pt idx="5">
                    <c:v>68</c:v>
                  </c:pt>
                  <c:pt idx="6">
                    <c:v>71</c:v>
                  </c:pt>
                  <c:pt idx="7">
                    <c:v>72</c:v>
                  </c:pt>
                  <c:pt idx="8">
                    <c:v>81</c:v>
                  </c:pt>
                  <c:pt idx="9">
                    <c:v>84</c:v>
                  </c:pt>
                </c:lvl>
              </c:multiLvlStrCache>
            </c:multiLvlStrRef>
          </c:cat>
          <c:val>
            <c:numRef>
              <c:f>Prihodi!$E$3:$E$12</c:f>
              <c:numCache>
                <c:formatCode>#,##0.00</c:formatCode>
                <c:ptCount val="10"/>
                <c:pt idx="0">
                  <c:v>606467.23</c:v>
                </c:pt>
                <c:pt idx="1">
                  <c:v>283400</c:v>
                </c:pt>
                <c:pt idx="2">
                  <c:v>42855</c:v>
                </c:pt>
                <c:pt idx="3">
                  <c:v>236000</c:v>
                </c:pt>
                <c:pt idx="4">
                  <c:v>1800</c:v>
                </c:pt>
                <c:pt idx="5">
                  <c:v>8000</c:v>
                </c:pt>
                <c:pt idx="6">
                  <c:v>13445</c:v>
                </c:pt>
                <c:pt idx="7">
                  <c:v>157000</c:v>
                </c:pt>
                <c:pt idx="8">
                  <c:v>0</c:v>
                </c:pt>
                <c:pt idx="9">
                  <c:v>3500</c:v>
                </c:pt>
              </c:numCache>
            </c:numRef>
          </c:val>
          <c:extLst xmlns:c16r2="http://schemas.microsoft.com/office/drawing/2015/06/chart">
            <c:ext xmlns:c16="http://schemas.microsoft.com/office/drawing/2014/chart" uri="{C3380CC4-5D6E-409C-BE32-E72D297353CC}">
              <c16:uniqueId val="{00000000-3E1B-4C02-9F3D-FED1F9C2CA80}"/>
            </c:ext>
          </c:extLst>
        </c:ser>
        <c:ser>
          <c:idx val="1"/>
          <c:order val="2"/>
          <c:tx>
            <c:strRef>
              <c:f>Prihodi!$F$2</c:f>
              <c:strCache>
                <c:ptCount val="1"/>
                <c:pt idx="0">
                  <c:v>Ostvareno  2025.</c:v>
                </c:pt>
              </c:strCache>
            </c:strRef>
          </c:tx>
          <c:spPr>
            <a:solidFill>
              <a:schemeClr val="accent3">
                <a:lumMod val="40000"/>
                <a:lumOff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5400000" spcFirstLastPara="1" vertOverflow="ellipsis" wrap="square" anchor="ctr" anchorCtr="1"/>
              <a:lstStyle/>
              <a:p>
                <a:pPr>
                  <a:defRPr sz="1000" b="1" i="0" u="none" strike="noStrike" kern="1200" baseline="0">
                    <a:solidFill>
                      <a:schemeClr val="tx1"/>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Prihodi!$B$3:$C$12</c:f>
              <c:multiLvlStrCache>
                <c:ptCount val="10"/>
                <c:lvl>
                  <c:pt idx="0">
                    <c:v>Prihodi od poreza</c:v>
                  </c:pt>
                  <c:pt idx="1">
                    <c:v>Pomoći iz inozemstva (darovnice)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imovine</c:v>
                  </c:pt>
                  <c:pt idx="7">
                    <c:v>Prihodi od prodaje proizvedene dugotrajne imovine</c:v>
                  </c:pt>
                  <c:pt idx="8">
                    <c:v>Primljeni povrati glavnica danih zajmova</c:v>
                  </c:pt>
                  <c:pt idx="9">
                    <c:v>Primici od zaduživanja</c:v>
                  </c:pt>
                </c:lvl>
                <c:lvl>
                  <c:pt idx="0">
                    <c:v>61</c:v>
                  </c:pt>
                  <c:pt idx="1">
                    <c:v>63</c:v>
                  </c:pt>
                  <c:pt idx="2">
                    <c:v>64</c:v>
                  </c:pt>
                  <c:pt idx="3">
                    <c:v>65</c:v>
                  </c:pt>
                  <c:pt idx="4">
                    <c:v>66</c:v>
                  </c:pt>
                  <c:pt idx="5">
                    <c:v>68</c:v>
                  </c:pt>
                  <c:pt idx="6">
                    <c:v>71</c:v>
                  </c:pt>
                  <c:pt idx="7">
                    <c:v>72</c:v>
                  </c:pt>
                  <c:pt idx="8">
                    <c:v>81</c:v>
                  </c:pt>
                  <c:pt idx="9">
                    <c:v>84</c:v>
                  </c:pt>
                </c:lvl>
              </c:multiLvlStrCache>
            </c:multiLvlStrRef>
          </c:cat>
          <c:val>
            <c:numRef>
              <c:f>Prihodi!$F$3:$F$12</c:f>
              <c:numCache>
                <c:formatCode>#,##0.00</c:formatCode>
                <c:ptCount val="10"/>
                <c:pt idx="0">
                  <c:v>589874.68999999994</c:v>
                </c:pt>
                <c:pt idx="1">
                  <c:v>328901.67</c:v>
                </c:pt>
                <c:pt idx="2">
                  <c:v>41324.769999999997</c:v>
                </c:pt>
                <c:pt idx="3">
                  <c:v>243188.61</c:v>
                </c:pt>
                <c:pt idx="4">
                  <c:v>4500</c:v>
                </c:pt>
                <c:pt idx="5">
                  <c:v>7621.59</c:v>
                </c:pt>
                <c:pt idx="6">
                  <c:v>13352.24</c:v>
                </c:pt>
                <c:pt idx="7">
                  <c:v>158905.07</c:v>
                </c:pt>
                <c:pt idx="8">
                  <c:v>699.4</c:v>
                </c:pt>
                <c:pt idx="9">
                  <c:v>3113.51</c:v>
                </c:pt>
              </c:numCache>
            </c:numRef>
          </c:val>
          <c:extLst xmlns:c16r2="http://schemas.microsoft.com/office/drawing/2015/06/chart">
            <c:ext xmlns:c16="http://schemas.microsoft.com/office/drawing/2014/chart" uri="{C3380CC4-5D6E-409C-BE32-E72D297353CC}">
              <c16:uniqueId val="{00000001-3E1B-4C02-9F3D-FED1F9C2CA80}"/>
            </c:ext>
          </c:extLst>
        </c:ser>
        <c:dLbls>
          <c:showLegendKey val="0"/>
          <c:showVal val="1"/>
          <c:showCatName val="0"/>
          <c:showSerName val="0"/>
          <c:showPercent val="0"/>
          <c:showBubbleSize val="0"/>
        </c:dLbls>
        <c:gapWidth val="150"/>
        <c:overlap val="-25"/>
        <c:axId val="-660529664"/>
        <c:axId val="-660535648"/>
      </c:barChart>
      <c:catAx>
        <c:axId val="-66052966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sr-Latn-RS"/>
          </a:p>
        </c:txPr>
        <c:crossAx val="-660535648"/>
        <c:crosses val="autoZero"/>
        <c:auto val="1"/>
        <c:lblAlgn val="ctr"/>
        <c:lblOffset val="100"/>
        <c:noMultiLvlLbl val="0"/>
      </c:catAx>
      <c:valAx>
        <c:axId val="-660535648"/>
        <c:scaling>
          <c:orientation val="minMax"/>
        </c:scaling>
        <c:delete val="1"/>
        <c:axPos val="l"/>
        <c:numFmt formatCode="#,##0.00" sourceLinked="1"/>
        <c:majorTickMark val="none"/>
        <c:minorTickMark val="none"/>
        <c:tickLblPos val="nextTo"/>
        <c:crossAx val="-660529664"/>
        <c:crosses val="autoZero"/>
        <c:crossBetween val="between"/>
      </c:valAx>
      <c:spPr>
        <a:solidFill>
          <a:schemeClr val="accent3">
            <a:lumMod val="20000"/>
            <a:lumOff val="80000"/>
            <a:alpha val="50000"/>
          </a:schemeClr>
        </a:solid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sr-Latn-RS"/>
        </a:p>
      </c:txPr>
    </c:legend>
    <c:plotVisOnly val="1"/>
    <c:dispBlanksAs val="gap"/>
    <c:showDLblsOverMax val="0"/>
  </c:chart>
  <c:spPr>
    <a:solidFill>
      <a:schemeClr val="accent3">
        <a:lumMod val="20000"/>
        <a:lumOff val="80000"/>
      </a:schemeClr>
    </a:solidFill>
    <a:ln w="9525" cap="flat" cmpd="sng" algn="ctr">
      <a:solidFill>
        <a:schemeClr val="tx1">
          <a:tint val="75000"/>
          <a:shade val="95000"/>
          <a:satMod val="105000"/>
        </a:schemeClr>
      </a:solidFill>
      <a:prstDash val="solid"/>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600"/>
            </a:pPr>
            <a:r>
              <a:rPr lang="hr-HR" sz="1600"/>
              <a:t>Usporedni prikaz ostvarenja Prihoda od poreza </a:t>
            </a:r>
            <a:r>
              <a:rPr lang="hr-HR" sz="1600" b="1" i="0" u="none" strike="noStrike" baseline="0">
                <a:effectLst/>
              </a:rPr>
              <a:t>u 2025. u odnosu na Proračun 2025. te realizaciju za isto razdoblje 2024. godine</a:t>
            </a:r>
            <a:endParaRPr lang="hr-HR" sz="1600">
              <a:effectLst/>
            </a:endParaRP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93807741414921"/>
          <c:y val="0.26153283199835836"/>
          <c:w val="0.86843957047610931"/>
          <c:h val="0.6353136593186659"/>
        </c:manualLayout>
      </c:layout>
      <c:bar3DChart>
        <c:barDir val="col"/>
        <c:grouping val="clustered"/>
        <c:varyColors val="0"/>
        <c:ser>
          <c:idx val="5"/>
          <c:order val="5"/>
          <c:tx>
            <c:strRef>
              <c:f>'61'!$H$2</c:f>
              <c:strCache>
                <c:ptCount val="1"/>
                <c:pt idx="0">
                  <c:v>Ostvareno   2024.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'61'!$B$3:$B$7</c:f>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f>'61'!$H$3:$H$7</c:f>
              <c:numCache>
                <c:formatCode>#,##0.00</c:formatCode>
                <c:ptCount val="5"/>
                <c:pt idx="0">
                  <c:v>338643.47</c:v>
                </c:pt>
                <c:pt idx="1">
                  <c:v>15963.74</c:v>
                </c:pt>
                <c:pt idx="2">
                  <c:v>0</c:v>
                </c:pt>
                <c:pt idx="3">
                  <c:v>157011.28</c:v>
                </c:pt>
                <c:pt idx="4">
                  <c:v>6959.76</c:v>
                </c:pt>
              </c:numCache>
            </c:numRef>
          </c:val>
          <c:extLst xmlns:c16r2="http://schemas.microsoft.com/office/drawing/2015/06/chart">
            <c:ext xmlns:c16="http://schemas.microsoft.com/office/drawing/2014/chart" uri="{C3380CC4-5D6E-409C-BE32-E72D297353CC}">
              <c16:uniqueId val="{00000002-FCC1-475F-95A6-6883B605A3D3}"/>
            </c:ext>
          </c:extLst>
        </c:ser>
        <c:ser>
          <c:idx val="6"/>
          <c:order val="6"/>
          <c:tx>
            <c:strRef>
              <c:f>'61'!$I$2</c:f>
              <c:strCache>
                <c:ptCount val="1"/>
                <c:pt idx="0">
                  <c:v>Proračun 2025.</c:v>
                </c:pt>
              </c:strCache>
            </c:strRef>
          </c:tx>
          <c:invertIfNegative val="0"/>
          <c:dLbls>
            <c:dLbl>
              <c:idx val="0"/>
              <c:layout>
                <c:manualLayout>
                  <c:x val="1.3795479731833255E-2"/>
                  <c:y val="-2.5974021547189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A4D-4FC1-86AF-353B622E9A92}"/>
                </c:ext>
                <c:ext xmlns:c15="http://schemas.microsoft.com/office/drawing/2012/chart" uri="{CE6537A1-D6FC-4f65-9D91-7224C49458BB}"/>
              </c:extLst>
            </c:dLbl>
            <c:dLbl>
              <c:idx val="1"/>
              <c:layout>
                <c:manualLayout>
                  <c:x val="-8.1753050379258811E-17"/>
                  <c:y val="-5.08166969147006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A4D-4FC1-86AF-353B622E9A92}"/>
                </c:ext>
                <c:ext xmlns:c15="http://schemas.microsoft.com/office/drawing/2012/chart" uri="{CE6537A1-D6FC-4f65-9D91-7224C49458BB}"/>
              </c:extLst>
            </c:dLbl>
            <c:dLbl>
              <c:idx val="2"/>
              <c:layout>
                <c:manualLayout>
                  <c:x val="-1.3795479731833254E-3"/>
                  <c:y val="-4.11255341163830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A4D-4FC1-86AF-353B622E9A92}"/>
                </c:ext>
                <c:ext xmlns:c15="http://schemas.microsoft.com/office/drawing/2012/chart" uri="{CE6537A1-D6FC-4f65-9D91-7224C49458BB}"/>
              </c:extLst>
            </c:dLbl>
            <c:dLbl>
              <c:idx val="3"/>
              <c:layout>
                <c:manualLayout>
                  <c:x val="2.229654403567447E-3"/>
                  <c:y val="-5.56563823351482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A4D-4FC1-86AF-353B622E9A92}"/>
                </c:ext>
                <c:ext xmlns:c15="http://schemas.microsoft.com/office/drawing/2012/chart" uri="{CE6537A1-D6FC-4f65-9D91-7224C49458BB}"/>
              </c:extLst>
            </c:dLbl>
            <c:dLbl>
              <c:idx val="4"/>
              <c:layout>
                <c:manualLayout>
                  <c:x val="0"/>
                  <c:y val="-5.32365396249244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A4D-4FC1-86AF-353B622E9A92}"/>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'61'!$B$3:$B$7</c:f>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f>'61'!$I$3:$I$7</c:f>
              <c:numCache>
                <c:formatCode>#,##0.00</c:formatCode>
                <c:ptCount val="5"/>
                <c:pt idx="0">
                  <c:v>404200</c:v>
                </c:pt>
                <c:pt idx="1">
                  <c:v>1500</c:v>
                </c:pt>
                <c:pt idx="2">
                  <c:v>50000</c:v>
                </c:pt>
                <c:pt idx="3">
                  <c:v>146767.23000000001</c:v>
                </c:pt>
                <c:pt idx="4">
                  <c:v>4000</c:v>
                </c:pt>
              </c:numCache>
            </c:numRef>
          </c:val>
          <c:extLst xmlns:c16r2="http://schemas.microsoft.com/office/drawing/2015/06/chart">
            <c:ext xmlns:c16="http://schemas.microsoft.com/office/drawing/2014/chart" uri="{C3380CC4-5D6E-409C-BE32-E72D297353CC}">
              <c16:uniqueId val="{00000003-FCC1-475F-95A6-6883B605A3D3}"/>
            </c:ext>
          </c:extLst>
        </c:ser>
        <c:ser>
          <c:idx val="7"/>
          <c:order val="7"/>
          <c:tx>
            <c:strRef>
              <c:f>'61'!$J$2</c:f>
              <c:strCache>
                <c:ptCount val="1"/>
                <c:pt idx="0">
                  <c:v>Ostvareno  2025.</c:v>
                </c:pt>
              </c:strCache>
            </c:strRef>
          </c:tx>
          <c:invertIfNegative val="0"/>
          <c:dLbls>
            <c:dLbl>
              <c:idx val="0"/>
              <c:layout>
                <c:manualLayout>
                  <c:x val="5.351170568561872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A4D-4FC1-86AF-353B622E9A92}"/>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'61'!$B$3:$B$7</c:f>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f>'61'!$J$3:$J$7</c:f>
              <c:numCache>
                <c:formatCode>#,##0.00</c:formatCode>
                <c:ptCount val="5"/>
                <c:pt idx="0">
                  <c:v>409613.3</c:v>
                </c:pt>
                <c:pt idx="1">
                  <c:v>673.83</c:v>
                </c:pt>
                <c:pt idx="2">
                  <c:v>40858.47</c:v>
                </c:pt>
                <c:pt idx="3">
                  <c:v>131767.5</c:v>
                </c:pt>
                <c:pt idx="4">
                  <c:v>6961.59</c:v>
                </c:pt>
              </c:numCache>
            </c:numRef>
          </c:val>
          <c:extLst xmlns:c16r2="http://schemas.microsoft.com/office/drawing/2015/06/chart">
            <c:ext xmlns:c16="http://schemas.microsoft.com/office/drawing/2014/chart" uri="{C3380CC4-5D6E-409C-BE32-E72D297353CC}">
              <c16:uniqueId val="{00000004-FCC1-475F-95A6-6883B605A3D3}"/>
            </c:ext>
          </c:extLst>
        </c:ser>
        <c:dLbls>
          <c:showLegendKey val="0"/>
          <c:showVal val="1"/>
          <c:showCatName val="0"/>
          <c:showSerName val="0"/>
          <c:showPercent val="0"/>
          <c:showBubbleSize val="0"/>
        </c:dLbls>
        <c:gapWidth val="55"/>
        <c:gapDepth val="55"/>
        <c:shape val="box"/>
        <c:axId val="-660528032"/>
        <c:axId val="-660540000"/>
        <c:axId val="0"/>
        <c:extLst xmlns:c16r2="http://schemas.microsoft.com/office/drawing/2015/06/chart">
          <c:ext xmlns:c15="http://schemas.microsoft.com/office/drawing/2012/chart" uri="{02D57815-91ED-43cb-92C2-25804820EDAC}">
            <c15:filteredBarSeries>
              <c15:ser>
                <c:idx val="2"/>
                <c:order val="0"/>
                <c:tx>
                  <c:strRef>
                    <c:extLst xmlns:c16r2="http://schemas.microsoft.com/office/drawing/2015/06/chart">
                      <c:ext uri="{02D57815-91ED-43cb-92C2-25804820EDAC}">
                        <c15:formulaRef>
                          <c15:sqref>'61'!$C$2</c15:sqref>
                        </c15:formulaRef>
                      </c:ext>
                    </c:extLst>
                    <c:strCache>
                      <c:ptCount val="1"/>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uri="{CE6537A1-D6FC-4f65-9D91-7224C49458BB}">
                      <c15:showLeaderLines val="1"/>
                    </c:ext>
                  </c:extLst>
                </c:dLbls>
                <c:cat>
                  <c:strRef>
                    <c:extLst xmlns:c16r2="http://schemas.microsoft.com/office/drawing/2015/06/chart">
                      <c:ext uri="{02D57815-91ED-43cb-92C2-25804820EDAC}">
                        <c15:formulaRef>
                          <c15:sqref>'61'!$B$3:$B$7</c15:sqref>
                        </c15:formulaRef>
                      </c:ext>
                    </c:extLst>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extLst xmlns:c16r2="http://schemas.microsoft.com/office/drawing/2015/06/chart">
                      <c:ext uri="{02D57815-91ED-43cb-92C2-25804820EDAC}">
                        <c15:formulaRef>
                          <c15:sqref>'61'!$C$3:$C$7</c15:sqref>
                        </c15:formulaRef>
                      </c:ext>
                    </c:extLst>
                    <c:numCache>
                      <c:formatCode>General</c:formatCode>
                      <c:ptCount val="5"/>
                    </c:numCache>
                  </c:numRef>
                </c:val>
                <c:extLst xmlns:c16r2="http://schemas.microsoft.com/office/drawing/2015/06/chart">
                  <c:ext xmlns:c16="http://schemas.microsoft.com/office/drawing/2014/chart" uri="{C3380CC4-5D6E-409C-BE32-E72D297353CC}">
                    <c16:uniqueId val="{00000005-9807-4B6F-B2F1-B743346FC5AD}"/>
                  </c:ext>
                </c:extLst>
              </c15:ser>
            </c15:filteredBarSeries>
            <c15:filteredBarSeries>
              <c15:ser>
                <c:idx val="0"/>
                <c:order val="1"/>
                <c:tx>
                  <c:strRef>
                    <c:extLst xmlns:c15="http://schemas.microsoft.com/office/drawing/2012/chart" xmlns:c16r2="http://schemas.microsoft.com/office/drawing/2015/06/chart">
                      <c:ext xmlns:c15="http://schemas.microsoft.com/office/drawing/2012/chart" uri="{02D57815-91ED-43cb-92C2-25804820EDAC}">
                        <c15:formulaRef>
                          <c15:sqref>'61'!$D$2</c15:sqref>
                        </c15:formulaRef>
                      </c:ext>
                    </c:extLst>
                    <c:strCache>
                      <c:ptCount val="1"/>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'61'!$B$3:$B$7</c15:sqref>
                        </c15:formulaRef>
                      </c:ext>
                    </c:extLst>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'61'!$D$3:$D$7</c15:sqref>
                        </c15:formulaRef>
                      </c:ext>
                    </c:extLst>
                    <c:numCache>
                      <c:formatCode>General</c:formatCode>
                      <c:ptCount val="5"/>
                    </c:numCache>
                  </c:numRef>
                </c:val>
                <c:extLst xmlns:c15="http://schemas.microsoft.com/office/drawing/2012/chart" xmlns:c16r2="http://schemas.microsoft.com/office/drawing/2015/06/chart">
                  <c:ext xmlns:c16="http://schemas.microsoft.com/office/drawing/2014/chart" uri="{C3380CC4-5D6E-409C-BE32-E72D297353CC}">
                    <c16:uniqueId val="{00000000-1AA3-4787-B8B7-4C62A33BBFF1}"/>
                  </c:ext>
                </c:extLst>
              </c15:ser>
            </c15:filteredBarSeries>
            <c15:filteredBarSeries>
              <c15:ser>
                <c:idx val="1"/>
                <c:order val="2"/>
                <c:tx>
                  <c:strRef>
                    <c:extLst xmlns:c15="http://schemas.microsoft.com/office/drawing/2012/chart" xmlns:c16r2="http://schemas.microsoft.com/office/drawing/2015/06/chart">
                      <c:ext xmlns:c15="http://schemas.microsoft.com/office/drawing/2012/chart" uri="{02D57815-91ED-43cb-92C2-25804820EDAC}">
                        <c15:formulaRef>
                          <c15:sqref>'61'!$E$2</c15:sqref>
                        </c15:formulaRef>
                      </c:ext>
                    </c:extLst>
                    <c:strCache>
                      <c:ptCount val="1"/>
                    </c:strCache>
                  </c:strRef>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'61'!$B$3:$B$7</c15:sqref>
                        </c15:formulaRef>
                      </c:ext>
                    </c:extLst>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'61'!$E$3:$E$7</c15:sqref>
                        </c15:formulaRef>
                      </c:ext>
                    </c:extLst>
                    <c:numCache>
                      <c:formatCode>General</c:formatCode>
                      <c:ptCount val="5"/>
                    </c:numCache>
                  </c:numRef>
                </c:val>
                <c:extLst xmlns:c15="http://schemas.microsoft.com/office/drawing/2012/chart" xmlns:c16r2="http://schemas.microsoft.com/office/drawing/2015/06/chart">
                  <c:ext xmlns:c16="http://schemas.microsoft.com/office/drawing/2014/chart" uri="{C3380CC4-5D6E-409C-BE32-E72D297353CC}">
                    <c16:uniqueId val="{00000001-1AA3-4787-B8B7-4C62A33BBFF1}"/>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'61'!$F$2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'61'!$B$3:$B$7</c15:sqref>
                        </c15:formulaRef>
                      </c:ext>
                    </c:extLst>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'61'!$F$3:$F$7</c15:sqref>
                        </c15:formulaRef>
                      </c:ext>
                    </c:extLst>
                    <c:numCache>
                      <c:formatCode>General</c:formatCode>
                      <c:ptCount val="5"/>
                    </c:numCache>
                  </c:numRef>
                </c:val>
                <c:extLst xmlns:c15="http://schemas.microsoft.com/office/drawing/2012/chart" xmlns:c16r2="http://schemas.microsoft.com/office/drawing/2015/06/chart">
                  <c:ext xmlns:c16="http://schemas.microsoft.com/office/drawing/2014/chart" uri="{C3380CC4-5D6E-409C-BE32-E72D297353CC}">
                    <c16:uniqueId val="{00000000-FCC1-475F-95A6-6883B605A3D3}"/>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'61'!$G$2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'61'!$B$3:$B$7</c15:sqref>
                        </c15:formulaRef>
                      </c:ext>
                    </c:extLst>
                    <c:strCache>
                      <c:ptCount val="5"/>
                      <c:pt idx="0">
                        <c:v>Porez na dohodak</c:v>
                      </c:pt>
                      <c:pt idx="1">
                        <c:v>Porez na kuće za odmor</c:v>
                      </c:pt>
                      <c:pt idx="2">
                        <c:v>Porez na nekretnine</c:v>
                      </c:pt>
                      <c:pt idx="3">
                        <c:v>Porez na promet nekretnina</c:v>
                      </c:pt>
                      <c:pt idx="4">
                        <c:v>Porez na potrošnju alkoholnih i bezalkoholnih pića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'61'!$G$3:$G$7</c15:sqref>
                        </c15:formulaRef>
                      </c:ext>
                    </c:extLst>
                    <c:numCache>
                      <c:formatCode>General</c:formatCode>
                      <c:ptCount val="5"/>
                    </c:numCache>
                  </c:numRef>
                </c:val>
                <c:extLst xmlns:c15="http://schemas.microsoft.com/office/drawing/2012/chart" xmlns:c16r2="http://schemas.microsoft.com/office/drawing/2015/06/chart">
                  <c:ext xmlns:c16="http://schemas.microsoft.com/office/drawing/2014/chart" uri="{C3380CC4-5D6E-409C-BE32-E72D297353CC}">
                    <c16:uniqueId val="{00000001-FCC1-475F-95A6-6883B605A3D3}"/>
                  </c:ext>
                </c:extLst>
              </c15:ser>
            </c15:filteredBarSeries>
          </c:ext>
        </c:extLst>
      </c:bar3DChart>
      <c:catAx>
        <c:axId val="-660528032"/>
        <c:scaling>
          <c:orientation val="minMax"/>
        </c:scaling>
        <c:delete val="0"/>
        <c:axPos val="b"/>
        <c:numFmt formatCode="General" sourceLinked="0"/>
        <c:majorTickMark val="none"/>
        <c:minorTickMark val="none"/>
        <c:tickLblPos val="nextTo"/>
        <c:txPr>
          <a:bodyPr/>
          <a:lstStyle/>
          <a:p>
            <a:pPr>
              <a:defRPr b="1"/>
            </a:pPr>
            <a:endParaRPr lang="sr-Latn-RS"/>
          </a:p>
        </c:txPr>
        <c:crossAx val="-660540000"/>
        <c:crosses val="autoZero"/>
        <c:auto val="1"/>
        <c:lblAlgn val="ctr"/>
        <c:lblOffset val="100"/>
        <c:noMultiLvlLbl val="0"/>
      </c:catAx>
      <c:valAx>
        <c:axId val="-660540000"/>
        <c:scaling>
          <c:orientation val="minMax"/>
        </c:scaling>
        <c:delete val="0"/>
        <c:axPos val="l"/>
        <c:majorGridlines>
          <c:spPr>
            <a:ln>
              <a:solidFill>
                <a:schemeClr val="bg1">
                  <a:lumMod val="85000"/>
                </a:schemeClr>
              </a:solidFill>
            </a:ln>
          </c:spPr>
        </c:majorGridlines>
        <c:numFmt formatCode="#,##0.00" sourceLinked="1"/>
        <c:majorTickMark val="none"/>
        <c:minorTickMark val="none"/>
        <c:tickLblPos val="nextTo"/>
        <c:txPr>
          <a:bodyPr/>
          <a:lstStyle/>
          <a:p>
            <a:pPr>
              <a:defRPr b="1"/>
            </a:pPr>
            <a:endParaRPr lang="sr-Latn-RS"/>
          </a:p>
        </c:txPr>
        <c:crossAx val="-660528032"/>
        <c:crosses val="autoZero"/>
        <c:crossBetween val="between"/>
      </c:valAx>
    </c:plotArea>
    <c:legend>
      <c:legendPos val="t"/>
      <c:overlay val="0"/>
      <c:txPr>
        <a:bodyPr/>
        <a:lstStyle/>
        <a:p>
          <a:pPr>
            <a:defRPr sz="1050" b="1"/>
          </a:pPr>
          <a:endParaRPr lang="sr-Latn-R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400"/>
            </a:pPr>
            <a:r>
              <a:rPr lang="hr-HR" sz="1400" b="1" i="0" baseline="0">
                <a:effectLst/>
              </a:rPr>
              <a:t>Usporedni prikaz realizacije Prihoda od imovine </a:t>
            </a:r>
            <a:r>
              <a:rPr lang="hr-HR" sz="1400" b="1" i="0" u="none" strike="noStrike" baseline="0">
                <a:effectLst/>
              </a:rPr>
              <a:t>u 2025. u odnosu na Proračun 2025. te realizaciju za isto razdoblje 2024. godine</a:t>
            </a:r>
            <a:endParaRPr lang="hr-HR" sz="1400">
              <a:effectLst/>
            </a:endParaRPr>
          </a:p>
        </c:rich>
      </c:tx>
      <c:overlay val="0"/>
    </c:title>
    <c:autoTitleDeleted val="0"/>
    <c:plotArea>
      <c:layout>
        <c:manualLayout>
          <c:layoutTarget val="inner"/>
          <c:xMode val="edge"/>
          <c:yMode val="edge"/>
          <c:x val="0.13638726526131811"/>
          <c:y val="0.10356191227699485"/>
          <c:w val="0.88968736900990575"/>
          <c:h val="0.57502184762116004"/>
        </c:manualLayout>
      </c:layout>
      <c:barChart>
        <c:barDir val="col"/>
        <c:grouping val="clustered"/>
        <c:varyColors val="0"/>
        <c:ser>
          <c:idx val="2"/>
          <c:order val="0"/>
          <c:tx>
            <c:strRef>
              <c:f>'64'!$C$2</c:f>
              <c:strCache>
                <c:ptCount val="1"/>
                <c:pt idx="0">
                  <c:v>Ostvareno  2024.</c:v>
                </c:pt>
              </c:strCache>
            </c:strRef>
          </c:tx>
          <c:spPr>
            <a:solidFill>
              <a:schemeClr val="accent3">
                <a:lumMod val="40000"/>
                <a:lumOff val="60000"/>
              </a:schemeClr>
            </a:solidFill>
          </c:spPr>
          <c:invertIfNegative val="0"/>
          <c:cat>
            <c:strRef>
              <c:f>'64'!$B$3:$B$12</c:f>
              <c:strCache>
                <c:ptCount val="10"/>
                <c:pt idx="0">
                  <c:v>Zakup poljoprivrednog zemljišta u vl. RH</c:v>
                </c:pt>
                <c:pt idx="1">
                  <c:v>Zakup poljoprivrednog zemljišta u vl. Općine</c:v>
                </c:pt>
                <c:pt idx="2">
                  <c:v>Najam stana</c:v>
                </c:pt>
                <c:pt idx="3">
                  <c:v>Zakup javnih površina</c:v>
                </c:pt>
                <c:pt idx="4">
                  <c:v>Prihodi od zakupa poslovnih prostora</c:v>
                </c:pt>
                <c:pt idx="5">
                  <c:v>Zakup građevinskog zemljišta u vl. Općine</c:v>
                </c:pt>
                <c:pt idx="6">
                  <c:v>Naknada za pravo građenja</c:v>
                </c:pt>
                <c:pt idx="7">
                  <c:v>Naknade za koncesije - DIMNJAČARSTVO</c:v>
                </c:pt>
                <c:pt idx="8">
                  <c:v>Naknada za eksploataciju mineralnih sirovina</c:v>
                </c:pt>
                <c:pt idx="9">
                  <c:v>Prihodi od zateznih kamata</c:v>
                </c:pt>
              </c:strCache>
            </c:strRef>
          </c:cat>
          <c:val>
            <c:numRef>
              <c:f>'64'!$C$3:$C$12</c:f>
              <c:numCache>
                <c:formatCode>#,##0.00</c:formatCode>
                <c:ptCount val="10"/>
                <c:pt idx="0">
                  <c:v>2120.6799999999998</c:v>
                </c:pt>
                <c:pt idx="1">
                  <c:v>1551.71</c:v>
                </c:pt>
                <c:pt idx="2">
                  <c:v>2620.0700000000002</c:v>
                </c:pt>
                <c:pt idx="3">
                  <c:v>3294.41</c:v>
                </c:pt>
                <c:pt idx="4">
                  <c:v>17193.75</c:v>
                </c:pt>
                <c:pt idx="5">
                  <c:v>729.98</c:v>
                </c:pt>
                <c:pt idx="6">
                  <c:v>2200</c:v>
                </c:pt>
                <c:pt idx="7">
                  <c:v>527.17999999999995</c:v>
                </c:pt>
                <c:pt idx="8">
                  <c:v>2000</c:v>
                </c:pt>
                <c:pt idx="9">
                  <c:v>11303.59</c:v>
                </c:pt>
              </c:numCache>
            </c:numRef>
          </c:val>
          <c:extLst xmlns:c16r2="http://schemas.microsoft.com/office/drawing/2015/06/chart">
            <c:ext xmlns:c16="http://schemas.microsoft.com/office/drawing/2014/chart" uri="{C3380CC4-5D6E-409C-BE32-E72D297353CC}">
              <c16:uniqueId val="{00000000-1EE8-4CEB-BD51-98E09ED8D61E}"/>
            </c:ext>
          </c:extLst>
        </c:ser>
        <c:ser>
          <c:idx val="0"/>
          <c:order val="1"/>
          <c:tx>
            <c:strRef>
              <c:f>'64'!$D$2</c:f>
              <c:strCache>
                <c:ptCount val="1"/>
                <c:pt idx="0">
                  <c:v>Proračun 2025.</c:v>
                </c:pt>
              </c:strCache>
            </c:strRef>
          </c:tx>
          <c:spPr>
            <a:solidFill>
              <a:schemeClr val="accent4">
                <a:lumMod val="40000"/>
                <a:lumOff val="60000"/>
              </a:schemeClr>
            </a:solidFill>
          </c:spPr>
          <c:invertIfNegative val="0"/>
          <c:cat>
            <c:strRef>
              <c:f>'64'!$B$3:$B$12</c:f>
              <c:strCache>
                <c:ptCount val="10"/>
                <c:pt idx="0">
                  <c:v>Zakup poljoprivrednog zemljišta u vl. RH</c:v>
                </c:pt>
                <c:pt idx="1">
                  <c:v>Zakup poljoprivrednog zemljišta u vl. Općine</c:v>
                </c:pt>
                <c:pt idx="2">
                  <c:v>Najam stana</c:v>
                </c:pt>
                <c:pt idx="3">
                  <c:v>Zakup javnih površina</c:v>
                </c:pt>
                <c:pt idx="4">
                  <c:v>Prihodi od zakupa poslovnih prostora</c:v>
                </c:pt>
                <c:pt idx="5">
                  <c:v>Zakup građevinskog zemljišta u vl. Općine</c:v>
                </c:pt>
                <c:pt idx="6">
                  <c:v>Naknada za pravo građenja</c:v>
                </c:pt>
                <c:pt idx="7">
                  <c:v>Naknade za koncesije - DIMNJAČARSTVO</c:v>
                </c:pt>
                <c:pt idx="8">
                  <c:v>Naknada za eksploataciju mineralnih sirovina</c:v>
                </c:pt>
                <c:pt idx="9">
                  <c:v>Prihodi od zateznih kamata</c:v>
                </c:pt>
              </c:strCache>
            </c:strRef>
          </c:cat>
          <c:val>
            <c:numRef>
              <c:f>'64'!$D$3:$D$12</c:f>
              <c:numCache>
                <c:formatCode>#,##0.00</c:formatCode>
                <c:ptCount val="10"/>
                <c:pt idx="0">
                  <c:v>2000</c:v>
                </c:pt>
                <c:pt idx="1">
                  <c:v>3000</c:v>
                </c:pt>
                <c:pt idx="2">
                  <c:v>3000</c:v>
                </c:pt>
                <c:pt idx="3">
                  <c:v>4500</c:v>
                </c:pt>
                <c:pt idx="4">
                  <c:v>20000</c:v>
                </c:pt>
                <c:pt idx="5">
                  <c:v>700</c:v>
                </c:pt>
                <c:pt idx="6">
                  <c:v>3000</c:v>
                </c:pt>
                <c:pt idx="7">
                  <c:v>1000</c:v>
                </c:pt>
                <c:pt idx="8">
                  <c:v>5000</c:v>
                </c:pt>
                <c:pt idx="9">
                  <c:v>0</c:v>
                </c:pt>
              </c:numCache>
            </c:numRef>
          </c:val>
          <c:extLst xmlns:c16r2="http://schemas.microsoft.com/office/drawing/2015/06/chart">
            <c:ext xmlns:c16="http://schemas.microsoft.com/office/drawing/2014/chart" uri="{C3380CC4-5D6E-409C-BE32-E72D297353CC}">
              <c16:uniqueId val="{00000000-4C46-479D-AA93-9278F60D9B7F}"/>
            </c:ext>
          </c:extLst>
        </c:ser>
        <c:ser>
          <c:idx val="1"/>
          <c:order val="2"/>
          <c:tx>
            <c:strRef>
              <c:f>'64'!$E$2</c:f>
              <c:strCache>
                <c:ptCount val="1"/>
                <c:pt idx="0">
                  <c:v>Ostvareno  2025.</c:v>
                </c:pt>
              </c:strCache>
            </c:strRef>
          </c:tx>
          <c:spPr>
            <a:solidFill>
              <a:schemeClr val="bg1">
                <a:lumMod val="85000"/>
              </a:schemeClr>
            </a:solidFill>
          </c:spPr>
          <c:invertIfNegative val="0"/>
          <c:cat>
            <c:strRef>
              <c:f>'64'!$B$3:$B$12</c:f>
              <c:strCache>
                <c:ptCount val="10"/>
                <c:pt idx="0">
                  <c:v>Zakup poljoprivrednog zemljišta u vl. RH</c:v>
                </c:pt>
                <c:pt idx="1">
                  <c:v>Zakup poljoprivrednog zemljišta u vl. Općine</c:v>
                </c:pt>
                <c:pt idx="2">
                  <c:v>Najam stana</c:v>
                </c:pt>
                <c:pt idx="3">
                  <c:v>Zakup javnih površina</c:v>
                </c:pt>
                <c:pt idx="4">
                  <c:v>Prihodi od zakupa poslovnih prostora</c:v>
                </c:pt>
                <c:pt idx="5">
                  <c:v>Zakup građevinskog zemljišta u vl. Općine</c:v>
                </c:pt>
                <c:pt idx="6">
                  <c:v>Naknada za pravo građenja</c:v>
                </c:pt>
                <c:pt idx="7">
                  <c:v>Naknade za koncesije - DIMNJAČARSTVO</c:v>
                </c:pt>
                <c:pt idx="8">
                  <c:v>Naknada za eksploataciju mineralnih sirovina</c:v>
                </c:pt>
                <c:pt idx="9">
                  <c:v>Prihodi od zateznih kamata</c:v>
                </c:pt>
              </c:strCache>
            </c:strRef>
          </c:cat>
          <c:val>
            <c:numRef>
              <c:f>'64'!$E$3:$E$12</c:f>
              <c:numCache>
                <c:formatCode>#,##0.00</c:formatCode>
                <c:ptCount val="10"/>
                <c:pt idx="0">
                  <c:v>2046.86</c:v>
                </c:pt>
                <c:pt idx="1">
                  <c:v>1827.96</c:v>
                </c:pt>
                <c:pt idx="2">
                  <c:v>2699.47</c:v>
                </c:pt>
                <c:pt idx="3">
                  <c:v>7296.28</c:v>
                </c:pt>
                <c:pt idx="4">
                  <c:v>21506.17</c:v>
                </c:pt>
                <c:pt idx="5">
                  <c:v>616.38</c:v>
                </c:pt>
                <c:pt idx="6">
                  <c:v>2200</c:v>
                </c:pt>
                <c:pt idx="7">
                  <c:v>0</c:v>
                </c:pt>
                <c:pt idx="8">
                  <c:v>2000</c:v>
                </c:pt>
                <c:pt idx="9">
                  <c:v>0</c:v>
                </c:pt>
              </c:numCache>
            </c:numRef>
          </c:val>
          <c:extLst xmlns:c16r2="http://schemas.microsoft.com/office/drawing/2015/06/chart">
            <c:ext xmlns:c16="http://schemas.microsoft.com/office/drawing/2014/chart" uri="{C3380CC4-5D6E-409C-BE32-E72D297353CC}">
              <c16:uniqueId val="{00000001-4C46-479D-AA93-9278F60D9B7F}"/>
            </c:ext>
          </c:extLst>
        </c:ser>
        <c:dLbls>
          <c:showLegendKey val="0"/>
          <c:showVal val="0"/>
          <c:showCatName val="0"/>
          <c:showSerName val="0"/>
          <c:showPercent val="0"/>
          <c:showBubbleSize val="0"/>
        </c:dLbls>
        <c:gapWidth val="150"/>
        <c:axId val="-660526944"/>
        <c:axId val="-660527488"/>
      </c:barChart>
      <c:catAx>
        <c:axId val="-660526944"/>
        <c:scaling>
          <c:orientation val="minMax"/>
        </c:scaling>
        <c:delete val="0"/>
        <c:axPos val="b"/>
        <c:majorGridlines/>
        <c:numFmt formatCode="General" sourceLinked="0"/>
        <c:majorTickMark val="none"/>
        <c:minorTickMark val="none"/>
        <c:tickLblPos val="nextTo"/>
        <c:txPr>
          <a:bodyPr/>
          <a:lstStyle/>
          <a:p>
            <a:pPr>
              <a:defRPr b="1"/>
            </a:pPr>
            <a:endParaRPr lang="sr-Latn-RS"/>
          </a:p>
        </c:txPr>
        <c:crossAx val="-660527488"/>
        <c:crosses val="autoZero"/>
        <c:auto val="1"/>
        <c:lblAlgn val="ctr"/>
        <c:lblOffset val="100"/>
        <c:noMultiLvlLbl val="0"/>
      </c:catAx>
      <c:valAx>
        <c:axId val="-660527488"/>
        <c:scaling>
          <c:orientation val="minMax"/>
        </c:scaling>
        <c:delete val="1"/>
        <c:axPos val="l"/>
        <c:numFmt formatCode="#,##0.00" sourceLinked="1"/>
        <c:majorTickMark val="none"/>
        <c:minorTickMark val="none"/>
        <c:tickLblPos val="nextTo"/>
        <c:crossAx val="-660526944"/>
        <c:crosses val="autoZero"/>
        <c:crossBetween val="between"/>
      </c:valAx>
      <c:dTable>
        <c:showHorzBorder val="1"/>
        <c:showVertBorder val="1"/>
        <c:showOutline val="1"/>
        <c:showKeys val="1"/>
      </c:dTable>
    </c:plotArea>
    <c:legend>
      <c:legendPos val="t"/>
      <c:layout>
        <c:manualLayout>
          <c:xMode val="edge"/>
          <c:yMode val="edge"/>
          <c:x val="0"/>
          <c:y val="0.1072904298266445"/>
          <c:w val="0.12962580148842628"/>
          <c:h val="0.13793140200861262"/>
        </c:manualLayout>
      </c:layout>
      <c:overlay val="0"/>
    </c:legend>
    <c:plotVisOnly val="1"/>
    <c:dispBlanksAs val="gap"/>
    <c:showDLblsOverMax val="0"/>
  </c:chart>
  <c:spPr>
    <a:solidFill>
      <a:schemeClr val="bg2"/>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hr-HR" sz="1400" b="1" i="0" baseline="0">
                <a:effectLst/>
              </a:rPr>
              <a:t>Usporedni prikaz Prihoda od upravnih i administrativnih pristojbi,</a:t>
            </a:r>
          </a:p>
          <a:p>
            <a:pPr>
              <a:defRPr sz="1400"/>
            </a:pPr>
            <a:r>
              <a:rPr lang="hr-HR" sz="1400" b="1" i="0" baseline="0">
                <a:effectLst/>
              </a:rPr>
              <a:t>pristojbi po posebnim propisima i naknada </a:t>
            </a:r>
            <a:r>
              <a:rPr lang="hr-HR" sz="1400" b="1" i="0" u="none" strike="noStrike" baseline="0">
                <a:effectLst/>
              </a:rPr>
              <a:t>u 2025. u odnosu na Proračun 2025. te realizaciju za isto razdoblje 2024. godine</a:t>
            </a:r>
            <a:endParaRPr lang="hr-HR" sz="1400">
              <a:effectLst/>
            </a:endParaRPr>
          </a:p>
        </c:rich>
      </c:tx>
      <c:overlay val="0"/>
    </c:title>
    <c:autoTitleDeleted val="0"/>
    <c:view3D>
      <c:rotX val="15"/>
      <c:rotY val="20"/>
      <c:rAngAx val="1"/>
    </c:view3D>
    <c:floor>
      <c:thickness val="0"/>
    </c:floor>
    <c:sideWall>
      <c:thickness val="0"/>
      <c:spPr>
        <a:solidFill>
          <a:schemeClr val="bg1">
            <a:lumMod val="95000"/>
          </a:schemeClr>
        </a:solidFill>
      </c:spPr>
    </c:sideWall>
    <c:backWall>
      <c:thickness val="0"/>
      <c:spPr>
        <a:solidFill>
          <a:schemeClr val="bg1">
            <a:lumMod val="95000"/>
          </a:schemeClr>
        </a:solidFill>
      </c:spPr>
    </c:backWall>
    <c:plotArea>
      <c:layout>
        <c:manualLayout>
          <c:layoutTarget val="inner"/>
          <c:xMode val="edge"/>
          <c:yMode val="edge"/>
          <c:x val="0.23397282961949922"/>
          <c:y val="0.145582265026789"/>
          <c:w val="0.72925888063415312"/>
          <c:h val="0.81022676297694196"/>
        </c:manualLayout>
      </c:layout>
      <c:bar3DChart>
        <c:barDir val="bar"/>
        <c:grouping val="clustered"/>
        <c:varyColors val="0"/>
        <c:ser>
          <c:idx val="2"/>
          <c:order val="0"/>
          <c:tx>
            <c:strRef>
              <c:f>'65'!$H$2</c:f>
              <c:strCache>
                <c:ptCount val="1"/>
                <c:pt idx="0">
                  <c:v>Ostvareno  2024.</c:v>
                </c:pt>
              </c:strCache>
            </c:strRef>
          </c:tx>
          <c:spPr>
            <a:solidFill>
              <a:schemeClr val="bg1">
                <a:lumMod val="85000"/>
              </a:schemeClr>
            </a:solidFill>
          </c:spPr>
          <c:invertIfNegative val="0"/>
          <c:dLbls>
            <c:spPr>
              <a:noFill/>
              <a:ln>
                <a:noFill/>
              </a:ln>
              <a:effectLst/>
            </c:spPr>
            <c:txPr>
              <a:bodyPr/>
              <a:lstStyle/>
              <a:p>
                <a:pPr>
                  <a:defRPr b="1"/>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'65'!$B$3:$G$9</c:f>
              <c:strCache>
                <c:ptCount val="7"/>
                <c:pt idx="0">
                  <c:v>Grobna naknada</c:v>
                </c:pt>
                <c:pt idx="1">
                  <c:v>Trajni zakup</c:v>
                </c:pt>
                <c:pt idx="2">
                  <c:v>Doprinosi za šume</c:v>
                </c:pt>
                <c:pt idx="3">
                  <c:v>Boravišna pristojba</c:v>
                </c:pt>
                <c:pt idx="4">
                  <c:v>Komunalni doprinos</c:v>
                </c:pt>
                <c:pt idx="5">
                  <c:v>Naknada za pravo služnosti</c:v>
                </c:pt>
                <c:pt idx="6">
                  <c:v>Komunalne naknade</c:v>
                </c:pt>
              </c:strCache>
            </c:strRef>
          </c:cat>
          <c:val>
            <c:numRef>
              <c:f>'65'!$H$3:$H$9</c:f>
              <c:numCache>
                <c:formatCode>#,##0.00</c:formatCode>
                <c:ptCount val="7"/>
                <c:pt idx="0">
                  <c:v>2645</c:v>
                </c:pt>
                <c:pt idx="1">
                  <c:v>0</c:v>
                </c:pt>
                <c:pt idx="2">
                  <c:v>4347.12</c:v>
                </c:pt>
                <c:pt idx="3">
                  <c:v>4250.22</c:v>
                </c:pt>
                <c:pt idx="4">
                  <c:v>224889.12</c:v>
                </c:pt>
                <c:pt idx="5">
                  <c:v>7408.99</c:v>
                </c:pt>
                <c:pt idx="6">
                  <c:v>91808.59</c:v>
                </c:pt>
              </c:numCache>
            </c:numRef>
          </c:val>
          <c:extLst xmlns:c16r2="http://schemas.microsoft.com/office/drawing/2015/06/chart">
            <c:ext xmlns:c16="http://schemas.microsoft.com/office/drawing/2014/chart" uri="{C3380CC4-5D6E-409C-BE32-E72D297353CC}">
              <c16:uniqueId val="{00000000-1FB0-40CD-8916-EF5F19DE763C}"/>
            </c:ext>
          </c:extLst>
        </c:ser>
        <c:ser>
          <c:idx val="0"/>
          <c:order val="1"/>
          <c:tx>
            <c:strRef>
              <c:f>'65'!$I$2</c:f>
              <c:strCache>
                <c:ptCount val="1"/>
                <c:pt idx="0">
                  <c:v>Proračun 2025.</c:v>
                </c:pt>
              </c:strCache>
            </c:strRef>
          </c:tx>
          <c:spPr>
            <a:solidFill>
              <a:schemeClr val="accent4">
                <a:lumMod val="40000"/>
                <a:lumOff val="60000"/>
              </a:schemeClr>
            </a:solidFill>
          </c:spPr>
          <c:invertIfNegative val="0"/>
          <c:dLbls>
            <c:spPr>
              <a:noFill/>
              <a:ln>
                <a:noFill/>
              </a:ln>
              <a:effectLst/>
            </c:spPr>
            <c:txPr>
              <a:bodyPr/>
              <a:lstStyle/>
              <a:p>
                <a:pPr>
                  <a:defRPr b="1"/>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'65'!$B$3:$G$9</c:f>
              <c:strCache>
                <c:ptCount val="7"/>
                <c:pt idx="0">
                  <c:v>Grobna naknada</c:v>
                </c:pt>
                <c:pt idx="1">
                  <c:v>Trajni zakup</c:v>
                </c:pt>
                <c:pt idx="2">
                  <c:v>Doprinosi za šume</c:v>
                </c:pt>
                <c:pt idx="3">
                  <c:v>Boravišna pristojba</c:v>
                </c:pt>
                <c:pt idx="4">
                  <c:v>Komunalni doprinos</c:v>
                </c:pt>
                <c:pt idx="5">
                  <c:v>Naknada za pravo služnosti</c:v>
                </c:pt>
                <c:pt idx="6">
                  <c:v>Komunalne naknade</c:v>
                </c:pt>
              </c:strCache>
            </c:strRef>
          </c:cat>
          <c:val>
            <c:numRef>
              <c:f>'65'!$I$3:$I$9</c:f>
              <c:numCache>
                <c:formatCode>#,##0.00</c:formatCode>
                <c:ptCount val="7"/>
                <c:pt idx="0">
                  <c:v>10000</c:v>
                </c:pt>
                <c:pt idx="1">
                  <c:v>100000</c:v>
                </c:pt>
                <c:pt idx="2">
                  <c:v>3000</c:v>
                </c:pt>
                <c:pt idx="3">
                  <c:v>4000</c:v>
                </c:pt>
                <c:pt idx="4">
                  <c:v>10000</c:v>
                </c:pt>
                <c:pt idx="5">
                  <c:v>7500</c:v>
                </c:pt>
                <c:pt idx="6">
                  <c:v>99900</c:v>
                </c:pt>
              </c:numCache>
            </c:numRef>
          </c:val>
          <c:extLst xmlns:c16r2="http://schemas.microsoft.com/office/drawing/2015/06/chart">
            <c:ext xmlns:c16="http://schemas.microsoft.com/office/drawing/2014/chart" uri="{C3380CC4-5D6E-409C-BE32-E72D297353CC}">
              <c16:uniqueId val="{00000000-710C-47D8-ABFE-769C1D652E67}"/>
            </c:ext>
          </c:extLst>
        </c:ser>
        <c:ser>
          <c:idx val="1"/>
          <c:order val="2"/>
          <c:tx>
            <c:strRef>
              <c:f>'65'!$J$2</c:f>
              <c:strCache>
                <c:ptCount val="1"/>
                <c:pt idx="0">
                  <c:v>Ostvareno  2025.</c:v>
                </c:pt>
              </c:strCache>
            </c:strRef>
          </c:tx>
          <c:spPr>
            <a:solidFill>
              <a:schemeClr val="accent3">
                <a:lumMod val="40000"/>
                <a:lumOff val="60000"/>
              </a:schemeClr>
            </a:solidFill>
          </c:spPr>
          <c:invertIfNegative val="0"/>
          <c:dLbls>
            <c:spPr>
              <a:noFill/>
              <a:ln>
                <a:noFill/>
              </a:ln>
              <a:effectLst/>
            </c:spPr>
            <c:txPr>
              <a:bodyPr/>
              <a:lstStyle/>
              <a:p>
                <a:pPr>
                  <a:defRPr b="1"/>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'65'!$B$3:$G$9</c:f>
              <c:strCache>
                <c:ptCount val="7"/>
                <c:pt idx="0">
                  <c:v>Grobna naknada</c:v>
                </c:pt>
                <c:pt idx="1">
                  <c:v>Trajni zakup</c:v>
                </c:pt>
                <c:pt idx="2">
                  <c:v>Doprinosi za šume</c:v>
                </c:pt>
                <c:pt idx="3">
                  <c:v>Boravišna pristojba</c:v>
                </c:pt>
                <c:pt idx="4">
                  <c:v>Komunalni doprinos</c:v>
                </c:pt>
                <c:pt idx="5">
                  <c:v>Naknada za pravo služnosti</c:v>
                </c:pt>
                <c:pt idx="6">
                  <c:v>Komunalne naknade</c:v>
                </c:pt>
              </c:strCache>
            </c:strRef>
          </c:cat>
          <c:val>
            <c:numRef>
              <c:f>'65'!$J$3:$J$9</c:f>
              <c:numCache>
                <c:formatCode>#,##0.00</c:formatCode>
                <c:ptCount val="7"/>
                <c:pt idx="0">
                  <c:v>8005</c:v>
                </c:pt>
                <c:pt idx="1">
                  <c:v>98199.96</c:v>
                </c:pt>
                <c:pt idx="2">
                  <c:v>1686.86</c:v>
                </c:pt>
                <c:pt idx="3">
                  <c:v>3473.34</c:v>
                </c:pt>
                <c:pt idx="4">
                  <c:v>23835.66</c:v>
                </c:pt>
                <c:pt idx="5">
                  <c:v>7408.99</c:v>
                </c:pt>
                <c:pt idx="6">
                  <c:v>100468.13</c:v>
                </c:pt>
              </c:numCache>
            </c:numRef>
          </c:val>
          <c:extLst xmlns:c16r2="http://schemas.microsoft.com/office/drawing/2015/06/chart">
            <c:ext xmlns:c16="http://schemas.microsoft.com/office/drawing/2014/chart" uri="{C3380CC4-5D6E-409C-BE32-E72D297353CC}">
              <c16:uniqueId val="{00000002-710C-47D8-ABFE-769C1D652E67}"/>
            </c:ext>
          </c:extLst>
        </c:ser>
        <c:dLbls>
          <c:showLegendKey val="0"/>
          <c:showVal val="1"/>
          <c:showCatName val="0"/>
          <c:showSerName val="0"/>
          <c:showPercent val="0"/>
          <c:showBubbleSize val="0"/>
        </c:dLbls>
        <c:gapWidth val="60"/>
        <c:gapDepth val="162"/>
        <c:shape val="cylinder"/>
        <c:axId val="-660532928"/>
        <c:axId val="-660537824"/>
        <c:axId val="0"/>
      </c:bar3DChart>
      <c:catAx>
        <c:axId val="-660532928"/>
        <c:scaling>
          <c:orientation val="minMax"/>
        </c:scaling>
        <c:delete val="0"/>
        <c:axPos val="l"/>
        <c:numFmt formatCode="General" sourceLinked="0"/>
        <c:majorTickMark val="none"/>
        <c:minorTickMark val="none"/>
        <c:tickLblPos val="nextTo"/>
        <c:txPr>
          <a:bodyPr/>
          <a:lstStyle/>
          <a:p>
            <a:pPr>
              <a:defRPr b="1" i="0" baseline="0"/>
            </a:pPr>
            <a:endParaRPr lang="sr-Latn-RS"/>
          </a:p>
        </c:txPr>
        <c:crossAx val="-660537824"/>
        <c:crosses val="autoZero"/>
        <c:auto val="1"/>
        <c:lblAlgn val="ctr"/>
        <c:lblOffset val="100"/>
        <c:noMultiLvlLbl val="0"/>
      </c:catAx>
      <c:valAx>
        <c:axId val="-660537824"/>
        <c:scaling>
          <c:orientation val="minMax"/>
        </c:scaling>
        <c:delete val="0"/>
        <c:axPos val="b"/>
        <c:majorGridlines>
          <c:spPr>
            <a:ln>
              <a:solidFill>
                <a:schemeClr val="bg2">
                  <a:lumMod val="90000"/>
                </a:schemeClr>
              </a:solidFill>
            </a:ln>
          </c:spPr>
        </c:majorGridlines>
        <c:numFmt formatCode="#,##0.00" sourceLinked="1"/>
        <c:majorTickMark val="none"/>
        <c:minorTickMark val="none"/>
        <c:tickLblPos val="nextTo"/>
        <c:spPr>
          <a:ln>
            <a:solidFill>
              <a:schemeClr val="bg1">
                <a:lumMod val="75000"/>
              </a:schemeClr>
            </a:solidFill>
          </a:ln>
        </c:spPr>
        <c:txPr>
          <a:bodyPr/>
          <a:lstStyle/>
          <a:p>
            <a:pPr>
              <a:defRPr b="1" i="0" baseline="0"/>
            </a:pPr>
            <a:endParaRPr lang="sr-Latn-RS"/>
          </a:p>
        </c:txPr>
        <c:crossAx val="-660532928"/>
        <c:crosses val="autoZero"/>
        <c:crossBetween val="between"/>
      </c:valAx>
      <c:spPr>
        <a:solidFill>
          <a:schemeClr val="bg1">
            <a:lumMod val="95000"/>
          </a:schemeClr>
        </a:solidFill>
      </c:spPr>
    </c:plotArea>
    <c:legend>
      <c:legendPos val="r"/>
      <c:layout>
        <c:manualLayout>
          <c:xMode val="edge"/>
          <c:yMode val="edge"/>
          <c:x val="0.79267539975227996"/>
          <c:y val="0.78604177073053694"/>
          <c:w val="0.16003312044307955"/>
          <c:h val="0.14115647160534425"/>
        </c:manualLayout>
      </c:layout>
      <c:overlay val="0"/>
      <c:txPr>
        <a:bodyPr/>
        <a:lstStyle/>
        <a:p>
          <a:pPr>
            <a:defRPr b="1"/>
          </a:pPr>
          <a:endParaRPr lang="sr-Latn-RS"/>
        </a:p>
      </c:txPr>
    </c:legend>
    <c:plotVisOnly val="1"/>
    <c:dispBlanksAs val="gap"/>
    <c:showDLblsOverMax val="0"/>
  </c:chart>
  <c:spPr>
    <a:solidFill>
      <a:schemeClr val="bg1">
        <a:lumMod val="95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lgn="ctr">
              <a:defRPr sz="1400"/>
            </a:pPr>
            <a:r>
              <a:rPr lang="hr-HR" sz="1400" b="1" i="0" baseline="0">
                <a:effectLst/>
              </a:rPr>
              <a:t>Usporedni prikaz realizacije Programa „Mjere i aktivnosti za osiguranje rada iz djelokruga izvršne vlasti“  od 01. siječnja do 31. prosinca 2025. godine u odnosu na Proračun za 2025. godinu </a:t>
            </a:r>
          </a:p>
        </c:rich>
      </c:tx>
      <c:overlay val="0"/>
    </c:title>
    <c:autoTitleDeleted val="0"/>
    <c:plotArea>
      <c:layout/>
      <c:barChart>
        <c:barDir val="col"/>
        <c:grouping val="clustered"/>
        <c:varyColors val="0"/>
        <c:ser>
          <c:idx val="9"/>
          <c:order val="9"/>
          <c:tx>
            <c:strRef>
              <c:f>'Izvršna vlast'!$M$2</c:f>
              <c:strCache>
                <c:ptCount val="1"/>
                <c:pt idx="0">
                  <c:v>Proračun 2025.</c:v>
                </c:pt>
              </c:strCache>
            </c:strRef>
          </c:tx>
          <c:spPr>
            <a:solidFill>
              <a:schemeClr val="accent4">
                <a:lumMod val="40000"/>
                <a:lumOff val="60000"/>
              </a:schemeClr>
            </a:solidFill>
          </c:spPr>
          <c:invertIfNegative val="0"/>
          <c:dLbls>
            <c:delete val="1"/>
          </c:dLbls>
          <c:cat>
            <c:strRef>
              <c:f>'Izvršna vlast'!$C$3:$C$9</c:f>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f>'Izvršna vlast'!$M$3:$M$9</c:f>
              <c:numCache>
                <c:formatCode>#,##0.00</c:formatCode>
                <c:ptCount val="7"/>
                <c:pt idx="0">
                  <c:v>50250</c:v>
                </c:pt>
                <c:pt idx="1">
                  <c:v>700</c:v>
                </c:pt>
                <c:pt idx="2">
                  <c:v>4645</c:v>
                </c:pt>
                <c:pt idx="3">
                  <c:v>2090</c:v>
                </c:pt>
                <c:pt idx="4">
                  <c:v>850</c:v>
                </c:pt>
                <c:pt idx="5">
                  <c:v>4146</c:v>
                </c:pt>
                <c:pt idx="6">
                  <c:v>4700</c:v>
                </c:pt>
              </c:numCache>
            </c:numRef>
          </c:val>
          <c:extLst xmlns:c16r2="http://schemas.microsoft.com/office/drawing/2015/06/chart">
            <c:ext xmlns:c16="http://schemas.microsoft.com/office/drawing/2014/chart" uri="{C3380CC4-5D6E-409C-BE32-E72D297353CC}">
              <c16:uniqueId val="{00000007-B50E-4647-A9F6-D53CBFF56FFE}"/>
            </c:ext>
          </c:extLst>
        </c:ser>
        <c:ser>
          <c:idx val="10"/>
          <c:order val="10"/>
          <c:tx>
            <c:strRef>
              <c:f>'Izvršna vlast'!$N$2</c:f>
              <c:strCache>
                <c:ptCount val="1"/>
                <c:pt idx="0">
                  <c:v>Ostvareno  2025.</c:v>
                </c:pt>
              </c:strCache>
            </c:strRef>
          </c:tx>
          <c:spPr>
            <a:solidFill>
              <a:schemeClr val="accent3">
                <a:lumMod val="40000"/>
                <a:lumOff val="60000"/>
              </a:schemeClr>
            </a:solidFill>
            <a:ln>
              <a:solidFill>
                <a:schemeClr val="accent3">
                  <a:lumMod val="60000"/>
                  <a:lumOff val="40000"/>
                </a:schemeClr>
              </a:solidFill>
            </a:ln>
          </c:spPr>
          <c:invertIfNegative val="0"/>
          <c:dLbls>
            <c:delete val="1"/>
          </c:dLbls>
          <c:cat>
            <c:strRef>
              <c:f>'Izvršna vlast'!$C$3:$C$9</c:f>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f>'Izvršna vlast'!$N$3:$N$9</c:f>
              <c:numCache>
                <c:formatCode>#,##0.00</c:formatCode>
                <c:ptCount val="7"/>
                <c:pt idx="0">
                  <c:v>49652.19</c:v>
                </c:pt>
                <c:pt idx="1">
                  <c:v>578.39</c:v>
                </c:pt>
                <c:pt idx="2">
                  <c:v>0</c:v>
                </c:pt>
                <c:pt idx="3">
                  <c:v>2090</c:v>
                </c:pt>
                <c:pt idx="4">
                  <c:v>850</c:v>
                </c:pt>
                <c:pt idx="5">
                  <c:v>4145.5600000000004</c:v>
                </c:pt>
                <c:pt idx="6">
                  <c:v>4505.63</c:v>
                </c:pt>
              </c:numCache>
            </c:numRef>
          </c:val>
          <c:extLst xmlns:c16r2="http://schemas.microsoft.com/office/drawing/2015/06/chart">
            <c:ext xmlns:c16="http://schemas.microsoft.com/office/drawing/2014/chart" uri="{C3380CC4-5D6E-409C-BE32-E72D297353CC}">
              <c16:uniqueId val="{00000008-B50E-4647-A9F6-D53CBFF56FFE}"/>
            </c:ext>
          </c:extLst>
        </c:ser>
        <c:dLbls>
          <c:dLblPos val="outEnd"/>
          <c:showLegendKey val="0"/>
          <c:showVal val="1"/>
          <c:showCatName val="0"/>
          <c:showSerName val="0"/>
          <c:showPercent val="0"/>
          <c:showBubbleSize val="0"/>
        </c:dLbls>
        <c:gapWidth val="75"/>
        <c:axId val="-758384752"/>
        <c:axId val="-66052857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'Izvršna vlast'!$D$2</c15:sqref>
                        </c15:formulaRef>
                      </c:ext>
                    </c:extLst>
                    <c:strCache>
                      <c:ptCount val="1"/>
                    </c:strCache>
                  </c:strRef>
                </c:tx>
                <c:spPr>
                  <a:solidFill>
                    <a:schemeClr val="accent6">
                      <a:lumMod val="75000"/>
                    </a:schemeClr>
                  </a:solidFill>
                </c:spPr>
                <c:invertIfNegative val="0"/>
                <c:dLbls>
                  <c:spPr>
                    <a:noFill/>
                    <a:ln>
                      <a:noFill/>
                    </a:ln>
                    <a:effectLst/>
                  </c:spPr>
                  <c:txPr>
                    <a:bodyPr rot="-5400000" vert="horz"/>
                    <a:lstStyle/>
                    <a:p>
                      <a:pPr>
                        <a:defRPr b="1"/>
                      </a:pPr>
                      <a:endParaRPr lang="sr-Latn-R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0"/>
                    </c:ext>
                  </c:extLst>
                </c:dLbls>
                <c:cat>
                  <c:strRef>
                    <c:extLst xmlns:c16r2="http://schemas.microsoft.com/office/drawing/2015/06/chart">
                      <c:ex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6r2="http://schemas.microsoft.com/office/drawing/2015/06/chart">
                      <c:ext uri="{02D57815-91ED-43cb-92C2-25804820EDAC}">
                        <c15:formulaRef>
                          <c15:sqref>'Izvršna vlast'!$D$3:$D$9</c15:sqref>
                        </c15:formulaRef>
                      </c:ext>
                    </c:extLst>
                    <c:numCache>
                      <c:formatCode>General</c:formatCode>
                      <c:ptCount val="7"/>
                    </c:numCache>
                  </c:numRef>
                </c:val>
                <c:extLst xmlns:c16r2="http://schemas.microsoft.com/office/drawing/2015/06/chart">
                  <c:ext xmlns:c16="http://schemas.microsoft.com/office/drawing/2014/chart" uri="{C3380CC4-5D6E-409C-BE32-E72D297353CC}">
                    <c16:uniqueId val="{00000000-57D6-4B30-8F31-CCBDAB1E3285}"/>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'Izvršna vlast'!$E$2</c15:sqref>
                        </c15:formulaRef>
                      </c:ext>
                    </c:extLst>
                    <c:strCache>
                      <c:ptCount val="1"/>
                    </c:strCache>
                  </c:strRef>
                </c:tx>
                <c:spPr>
                  <a:solidFill>
                    <a:srgbClr val="92D050"/>
                  </a:solidFill>
                </c:spPr>
                <c:invertIfNegative val="0"/>
                <c:dLbls>
                  <c:spPr>
                    <a:noFill/>
                    <a:ln>
                      <a:noFill/>
                    </a:ln>
                    <a:effectLst/>
                  </c:spPr>
                  <c:txPr>
                    <a:bodyPr rot="-5400000" vert="horz"/>
                    <a:lstStyle/>
                    <a:p>
                      <a:pPr>
                        <a:defRPr b="1"/>
                      </a:pPr>
                      <a:endParaRPr lang="sr-Latn-R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0"/>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vlast'!$E$3:$E$9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1-57D6-4B30-8F31-CCBDAB1E3285}"/>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'Izvršna vlast'!$F$2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vlast'!$F$3:$F$9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0-B50E-4647-A9F6-D53CBFF56FFE}"/>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'Izvršna vlast'!$G$2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vlast'!$G$3:$G$9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1-B50E-4647-A9F6-D53CBFF56FFE}"/>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'Izvršna vlast'!$H$2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vlast'!$H$3:$H$9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2-B50E-4647-A9F6-D53CBFF56FFE}"/>
                  </c:ext>
                </c:extLst>
              </c15:ser>
            </c15:filteredBarSeries>
            <c15:filteredBa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'Izvršna vlast'!$I$2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vlast'!$I$3:$I$9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3-B50E-4647-A9F6-D53CBFF56FFE}"/>
                  </c:ext>
                </c:extLst>
              </c15:ser>
            </c15:filteredBarSeries>
            <c15:filteredBa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'Izvršna vlast'!$J$2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vlast'!$J$3:$J$9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4-B50E-4647-A9F6-D53CBFF56FFE}"/>
                  </c:ext>
                </c:extLst>
              </c15:ser>
            </c15:filteredBarSeries>
            <c15:filteredBar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'Izvršna vlast'!$K$2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vlast'!$K$3:$K$9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5-B50E-4647-A9F6-D53CBFF56FFE}"/>
                  </c:ext>
                </c:extLst>
              </c15:ser>
            </c15:filteredBarSeries>
            <c15:filteredBar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'Izvršna vlast'!$L$2</c15:sqref>
                        </c15:formulaRef>
                      </c:ext>
                    </c:extLst>
                    <c:strCache>
                      <c:ptCount val="1"/>
                    </c:strCache>
                  </c:strRef>
                </c:tx>
                <c:invertIfNegative val="0"/>
                <c:dLbls>
                  <c:spPr>
                    <a:noFill/>
                    <a:ln>
                      <a:noFill/>
                    </a:ln>
                    <a:effectLst/>
                  </c:spP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ext>
                  </c:extLst>
                </c:dLbls>
                <c:cat>
                  <c:strRef>
                    <c:extLst xmlns:c15="http://schemas.microsoft.com/office/drawing/2012/chart" xmlns:c16r2="http://schemas.microsoft.com/office/drawing/2015/06/chart">
                      <c:ext xmlns:c15="http://schemas.microsoft.com/office/drawing/2012/chart" uri="{02D57815-91ED-43cb-92C2-25804820EDAC}">
                        <c15:formulaRef>
                          <c15:sqref>'Izvršna vlast'!$C$3:$C$9</c15:sqref>
                        </c15:formulaRef>
                      </c:ext>
                    </c:extLst>
                    <c:strCache>
                      <c:ptCount val="7"/>
                      <c:pt idx="0">
                        <c:v>Poslovanje ureda načelnika</c:v>
                      </c:pt>
                      <c:pt idx="1">
                        <c:v>Materijalni i ostali rashodi izvršne vlasti</c:v>
                      </c:pt>
                      <c:pt idx="2">
                        <c:v>Sredstva proračunske zalihe</c:v>
                      </c:pt>
                      <c:pt idx="3">
                        <c:v>Tekuće pomoći i donacije izvršne vlasti</c:v>
                      </c:pt>
                      <c:pt idx="4">
                        <c:v>Međuopćinska, međuregionalna i međunarodna suradnja</c:v>
                      </c:pt>
                      <c:pt idx="5">
                        <c:v>Obilježavanje Dana Općine</c:v>
                      </c:pt>
                      <c:pt idx="6">
                        <c:v>Prigodne proslave i svečanosti općine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'Izvršna vlast'!$L$3:$L$9</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6-B50E-4647-A9F6-D53CBFF56FFE}"/>
                  </c:ext>
                </c:extLst>
              </c15:ser>
            </c15:filteredBarSeries>
          </c:ext>
        </c:extLst>
      </c:barChart>
      <c:valAx>
        <c:axId val="-660528576"/>
        <c:scaling>
          <c:orientation val="minMax"/>
        </c:scaling>
        <c:delete val="0"/>
        <c:axPos val="l"/>
        <c:numFmt formatCode="#,##0.00" sourceLinked="1"/>
        <c:majorTickMark val="none"/>
        <c:minorTickMark val="none"/>
        <c:tickLblPos val="nextTo"/>
        <c:txPr>
          <a:bodyPr/>
          <a:lstStyle/>
          <a:p>
            <a:pPr>
              <a:defRPr b="1"/>
            </a:pPr>
            <a:endParaRPr lang="sr-Latn-RS"/>
          </a:p>
        </c:txPr>
        <c:crossAx val="-758384752"/>
        <c:crosses val="autoZero"/>
        <c:crossBetween val="between"/>
      </c:valAx>
      <c:catAx>
        <c:axId val="-758384752"/>
        <c:scaling>
          <c:orientation val="minMax"/>
        </c:scaling>
        <c:delete val="0"/>
        <c:axPos val="b"/>
        <c:numFmt formatCode="General" sourceLinked="1"/>
        <c:majorTickMark val="out"/>
        <c:minorTickMark val="none"/>
        <c:tickLblPos val="nextTo"/>
        <c:txPr>
          <a:bodyPr/>
          <a:lstStyle/>
          <a:p>
            <a:pPr>
              <a:defRPr b="1"/>
            </a:pPr>
            <a:endParaRPr lang="sr-Latn-RS"/>
          </a:p>
        </c:txPr>
        <c:crossAx val="-660528576"/>
        <c:crosses val="autoZero"/>
        <c:auto val="1"/>
        <c:lblAlgn val="ctr"/>
        <c:lblOffset val="100"/>
        <c:noMultiLvlLbl val="0"/>
      </c:catAx>
      <c:dTable>
        <c:showHorzBorder val="1"/>
        <c:showVertBorder val="1"/>
        <c:showOutline val="1"/>
        <c:showKeys val="1"/>
        <c:txPr>
          <a:bodyPr/>
          <a:lstStyle/>
          <a:p>
            <a:pPr rtl="0">
              <a:defRPr b="1"/>
            </a:pPr>
            <a:endParaRPr lang="sr-Latn-RS"/>
          </a:p>
        </c:txPr>
      </c:dTable>
      <c:spPr>
        <a:solidFill>
          <a:schemeClr val="bg1">
            <a:lumMod val="95000"/>
          </a:schemeClr>
        </a:solidFill>
      </c:spPr>
    </c:plotArea>
    <c:plotVisOnly val="1"/>
    <c:dispBlanksAs val="zero"/>
    <c:showDLblsOverMax val="0"/>
  </c:chart>
  <c:spPr>
    <a:solidFill>
      <a:schemeClr val="bg1">
        <a:lumMod val="95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lgn="ctr">
              <a:defRPr sz="1400"/>
            </a:pPr>
            <a:r>
              <a:rPr lang="hr-HR" sz="1400" b="1" i="0" baseline="0">
                <a:effectLst/>
              </a:rPr>
              <a:t>Usporedni prikaz realizacije Programa „Mjere i aktivnosti za osiguranje rada iz djelokruga JUO“  od 01. siječnja do 31. prosinca 2025. godine u odnosu na Proračun za 2025. godinu </a:t>
            </a:r>
          </a:p>
        </c:rich>
      </c:tx>
      <c:overlay val="0"/>
    </c:title>
    <c:autoTitleDeleted val="0"/>
    <c:plotArea>
      <c:layout/>
      <c:barChart>
        <c:barDir val="col"/>
        <c:grouping val="clustered"/>
        <c:varyColors val="0"/>
        <c:ser>
          <c:idx val="0"/>
          <c:order val="0"/>
          <c:tx>
            <c:strRef>
              <c:f>JUO!$M$2</c:f>
              <c:strCache>
                <c:ptCount val="1"/>
                <c:pt idx="0">
                  <c:v>Proračun 2025.</c:v>
                </c:pt>
              </c:strCache>
            </c:strRef>
          </c:tx>
          <c:spPr>
            <a:solidFill>
              <a:schemeClr val="accent4">
                <a:lumMod val="40000"/>
                <a:lumOff val="60000"/>
              </a:schemeClr>
            </a:solidFill>
          </c:spPr>
          <c:invertIfNegative val="0"/>
          <c:dLbls>
            <c:delete val="1"/>
          </c:dLbls>
          <c:cat>
            <c:strRef>
              <c:f>JUO!$C$3:$L$8</c:f>
              <c:strCache>
                <c:ptCount val="6"/>
                <c:pt idx="0">
                  <c:v>Administrativno, tehničko i stručno osoblje JUO</c:v>
                </c:pt>
                <c:pt idx="1">
                  <c:v>Promidžba općine i javna objava</c:v>
                </c:pt>
                <c:pt idx="2">
                  <c:v>Redoviti troškovi poslovanja JUO</c:v>
                </c:pt>
                <c:pt idx="3">
                  <c:v>Odvjetničke, javnobilježničke i ostale usluge vanjskih službi</c:v>
                </c:pt>
                <c:pt idx="4">
                  <c:v>Financijski i ostali rashodi redovnog poslovanja</c:v>
                </c:pt>
                <c:pt idx="5">
                  <c:v>Izmjene na web stranicama</c:v>
                </c:pt>
              </c:strCache>
            </c:strRef>
          </c:cat>
          <c:val>
            <c:numRef>
              <c:f>JUO!$M$3:$M$8</c:f>
              <c:numCache>
                <c:formatCode>#,##0.00</c:formatCode>
                <c:ptCount val="6"/>
                <c:pt idx="0">
                  <c:v>94080</c:v>
                </c:pt>
                <c:pt idx="1">
                  <c:v>8920</c:v>
                </c:pt>
                <c:pt idx="2">
                  <c:v>28075</c:v>
                </c:pt>
                <c:pt idx="3">
                  <c:v>57820</c:v>
                </c:pt>
                <c:pt idx="4">
                  <c:v>750</c:v>
                </c:pt>
                <c:pt idx="5">
                  <c:v>875</c:v>
                </c:pt>
              </c:numCache>
            </c:numRef>
          </c:val>
          <c:extLst xmlns:c15="http://schemas.microsoft.com/office/drawing/2012/chart" xmlns:c16r2="http://schemas.microsoft.com/office/drawing/2015/06/chart">
            <c:ext xmlns:c16="http://schemas.microsoft.com/office/drawing/2014/chart" uri="{C3380CC4-5D6E-409C-BE32-E72D297353CC}">
              <c16:uniqueId val="{00000002-55ED-408F-85FD-185D633E76E0}"/>
            </c:ext>
          </c:extLst>
        </c:ser>
        <c:ser>
          <c:idx val="1"/>
          <c:order val="1"/>
          <c:tx>
            <c:strRef>
              <c:f>JUO!$N$2</c:f>
              <c:strCache>
                <c:ptCount val="1"/>
                <c:pt idx="0">
                  <c:v>Ostvareno  2025.</c:v>
                </c:pt>
              </c:strCache>
            </c:strRef>
          </c:tx>
          <c:spPr>
            <a:solidFill>
              <a:schemeClr val="accent3">
                <a:lumMod val="40000"/>
                <a:lumOff val="60000"/>
              </a:schemeClr>
            </a:solidFill>
          </c:spPr>
          <c:invertIfNegative val="0"/>
          <c:dLbls>
            <c:delete val="1"/>
          </c:dLbls>
          <c:cat>
            <c:strRef>
              <c:f>JUO!$C$3:$L$8</c:f>
              <c:strCache>
                <c:ptCount val="6"/>
                <c:pt idx="0">
                  <c:v>Administrativno, tehničko i stručno osoblje JUO</c:v>
                </c:pt>
                <c:pt idx="1">
                  <c:v>Promidžba općine i javna objava</c:v>
                </c:pt>
                <c:pt idx="2">
                  <c:v>Redoviti troškovi poslovanja JUO</c:v>
                </c:pt>
                <c:pt idx="3">
                  <c:v>Odvjetničke, javnobilježničke i ostale usluge vanjskih službi</c:v>
                </c:pt>
                <c:pt idx="4">
                  <c:v>Financijski i ostali rashodi redovnog poslovanja</c:v>
                </c:pt>
                <c:pt idx="5">
                  <c:v>Izmjene na web stranicama</c:v>
                </c:pt>
              </c:strCache>
            </c:strRef>
          </c:cat>
          <c:val>
            <c:numRef>
              <c:f>JUO!$N$3:$N$8</c:f>
              <c:numCache>
                <c:formatCode>#,##0.00</c:formatCode>
                <c:ptCount val="6"/>
                <c:pt idx="0">
                  <c:v>93828.52</c:v>
                </c:pt>
                <c:pt idx="1">
                  <c:v>8947.4699999999993</c:v>
                </c:pt>
                <c:pt idx="2">
                  <c:v>25929.81</c:v>
                </c:pt>
                <c:pt idx="3">
                  <c:v>58564.49</c:v>
                </c:pt>
                <c:pt idx="4">
                  <c:v>737.06</c:v>
                </c:pt>
                <c:pt idx="5">
                  <c:v>875</c:v>
                </c:pt>
              </c:numCache>
            </c:numRef>
          </c:val>
          <c:extLst xmlns:c15="http://schemas.microsoft.com/office/drawing/2012/chart" xmlns:c16r2="http://schemas.microsoft.com/office/drawing/2015/06/chart">
            <c:ext xmlns:c16="http://schemas.microsoft.com/office/drawing/2014/chart" uri="{C3380CC4-5D6E-409C-BE32-E72D297353CC}">
              <c16:uniqueId val="{00000003-55ED-408F-85FD-185D633E76E0}"/>
            </c:ext>
          </c:extLst>
        </c:ser>
        <c:dLbls>
          <c:dLblPos val="outEnd"/>
          <c:showLegendKey val="0"/>
          <c:showVal val="1"/>
          <c:showCatName val="0"/>
          <c:showSerName val="0"/>
          <c:showPercent val="0"/>
          <c:showBubbleSize val="0"/>
        </c:dLbls>
        <c:gapWidth val="75"/>
        <c:axId val="-758384208"/>
        <c:axId val="-758392368"/>
        <c:extLst xmlns:c16r2="http://schemas.microsoft.com/office/drawing/2015/06/chart"/>
      </c:barChart>
      <c:valAx>
        <c:axId val="-758392368"/>
        <c:scaling>
          <c:orientation val="minMax"/>
        </c:scaling>
        <c:delete val="0"/>
        <c:axPos val="l"/>
        <c:numFmt formatCode="#,##0.00" sourceLinked="1"/>
        <c:majorTickMark val="none"/>
        <c:minorTickMark val="none"/>
        <c:tickLblPos val="nextTo"/>
        <c:txPr>
          <a:bodyPr/>
          <a:lstStyle/>
          <a:p>
            <a:pPr>
              <a:defRPr b="1"/>
            </a:pPr>
            <a:endParaRPr lang="sr-Latn-RS"/>
          </a:p>
        </c:txPr>
        <c:crossAx val="-758384208"/>
        <c:crosses val="autoZero"/>
        <c:crossBetween val="between"/>
      </c:valAx>
      <c:catAx>
        <c:axId val="-758384208"/>
        <c:scaling>
          <c:orientation val="minMax"/>
        </c:scaling>
        <c:delete val="0"/>
        <c:axPos val="b"/>
        <c:numFmt formatCode="General" sourceLinked="1"/>
        <c:majorTickMark val="out"/>
        <c:minorTickMark val="none"/>
        <c:tickLblPos val="nextTo"/>
        <c:txPr>
          <a:bodyPr/>
          <a:lstStyle/>
          <a:p>
            <a:pPr>
              <a:defRPr b="1"/>
            </a:pPr>
            <a:endParaRPr lang="sr-Latn-RS"/>
          </a:p>
        </c:txPr>
        <c:crossAx val="-758392368"/>
        <c:crosses val="autoZero"/>
        <c:auto val="1"/>
        <c:lblAlgn val="ctr"/>
        <c:lblOffset val="100"/>
        <c:noMultiLvlLbl val="0"/>
      </c:catAx>
      <c:dTable>
        <c:showHorzBorder val="1"/>
        <c:showVertBorder val="1"/>
        <c:showOutline val="1"/>
        <c:showKeys val="1"/>
        <c:txPr>
          <a:bodyPr/>
          <a:lstStyle/>
          <a:p>
            <a:pPr rtl="0">
              <a:defRPr b="1"/>
            </a:pPr>
            <a:endParaRPr lang="sr-Latn-RS"/>
          </a:p>
        </c:txPr>
      </c:dTable>
      <c:spPr>
        <a:solidFill>
          <a:schemeClr val="bg1">
            <a:lumMod val="95000"/>
          </a:schemeClr>
        </a:solidFill>
      </c:spPr>
    </c:plotArea>
    <c:plotVisOnly val="1"/>
    <c:dispBlanksAs val="zero"/>
    <c:showDLblsOverMax val="0"/>
  </c:chart>
  <c:spPr>
    <a:solidFill>
      <a:schemeClr val="bg1">
        <a:lumMod val="95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lgn="ctr">
              <a:defRPr sz="1400"/>
            </a:pPr>
            <a:r>
              <a:rPr lang="hr-HR" sz="1400" b="1" i="0" baseline="0">
                <a:effectLst/>
              </a:rPr>
              <a:t>Usporedni prikaz realizacije Programa „Protupožarna i civilna zaštita“  od 01. siječnja do 31. prosinca 2025. godine u odnosu na Proračun za 2025. godinu </a:t>
            </a:r>
          </a:p>
        </c:rich>
      </c:tx>
      <c:overlay val="0"/>
    </c:title>
    <c:autoTitleDeleted val="0"/>
    <c:plotArea>
      <c:layout>
        <c:manualLayout>
          <c:layoutTarget val="inner"/>
          <c:xMode val="edge"/>
          <c:yMode val="edge"/>
          <c:x val="0.16826060100792367"/>
          <c:y val="0.11779772029356933"/>
          <c:w val="0.82228685823099212"/>
          <c:h val="0.66277582944688862"/>
        </c:manualLayout>
      </c:layout>
      <c:barChart>
        <c:barDir val="col"/>
        <c:grouping val="clustered"/>
        <c:varyColors val="0"/>
        <c:ser>
          <c:idx val="2"/>
          <c:order val="0"/>
          <c:tx>
            <c:strRef>
              <c:f>Vatrogastvo!$M$2</c:f>
              <c:strCache>
                <c:ptCount val="1"/>
                <c:pt idx="0">
                  <c:v>Proračun 2025.</c:v>
                </c:pt>
              </c:strCache>
            </c:strRef>
          </c:tx>
          <c:spPr>
            <a:solidFill>
              <a:schemeClr val="accent4">
                <a:lumMod val="40000"/>
                <a:lumOff val="60000"/>
              </a:schemeClr>
            </a:solidFill>
          </c:spPr>
          <c:invertIfNegative val="0"/>
          <c:dLbls>
            <c:dLbl>
              <c:idx val="0"/>
              <c:layout>
                <c:manualLayout>
                  <c:x val="0"/>
                  <c:y val="-3.001125422033262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F4-4657-8691-BD90552A8D9C}"/>
                </c:ext>
                <c:ext xmlns:c15="http://schemas.microsoft.com/office/drawing/2012/chart" uri="{CE6537A1-D6FC-4f65-9D91-7224C49458BB}"/>
              </c:extLst>
            </c:dLbl>
            <c:dLbl>
              <c:idx val="1"/>
              <c:layout>
                <c:manualLayout>
                  <c:x val="0"/>
                  <c:y val="-1.7506564961860697E-2"/>
                </c:manualLayout>
              </c:layout>
              <c:spPr>
                <a:noFill/>
                <a:ln>
                  <a:noFill/>
                </a:ln>
                <a:effectLst/>
              </c:spPr>
              <c:txPr>
                <a:bodyPr wrap="square" lIns="38100" tIns="19050" rIns="38100" bIns="19050" anchor="ctr">
                  <a:noAutofit/>
                </a:bodyPr>
                <a:lstStyle/>
                <a:p>
                  <a:pPr>
                    <a:defRPr/>
                  </a:pPr>
                  <a:endParaRPr lang="sr-Latn-R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7F4-4657-8691-BD90552A8D9C}"/>
                </c:ext>
                <c:ext xmlns:c15="http://schemas.microsoft.com/office/drawing/2012/chart" uri="{CE6537A1-D6FC-4f65-9D91-7224C49458BB}">
                  <c15:layout>
                    <c:manualLayout>
                      <c:w val="6.6433366661905441E-2"/>
                      <c:h val="4.3028734200522049E-2"/>
                    </c:manualLayout>
                  </c15:layout>
                </c:ext>
              </c:extLst>
            </c:dLbl>
            <c:dLbl>
              <c:idx val="2"/>
              <c:layout>
                <c:manualLayout>
                  <c:x val="0"/>
                  <c:y val="-1.471264154763087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7F4-4657-8691-BD90552A8D9C}"/>
                </c:ext>
                <c:ext xmlns:c15="http://schemas.microsoft.com/office/drawing/2012/chart" uri="{CE6537A1-D6FC-4f65-9D91-7224C49458BB}"/>
              </c:extLst>
            </c:dLbl>
            <c:dLbl>
              <c:idx val="4"/>
              <c:layout>
                <c:manualLayout>
                  <c:x val="-2.8567347521783648E-3"/>
                  <c:y val="-4.251594347880455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7F4-4657-8691-BD90552A8D9C}"/>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Vatrogastvo!$C$3:$L$8</c:f>
              <c:strCache>
                <c:ptCount val="6"/>
                <c:pt idx="0">
                  <c:v>Osnovna djelatnost DVD</c:v>
                </c:pt>
                <c:pt idx="1">
                  <c:v>Financiranje Područne vatrogasne zajednice Umag</c:v>
                </c:pt>
                <c:pt idx="2">
                  <c:v>Financiranje Javne vatrogasne postrojbe</c:v>
                </c:pt>
                <c:pt idx="3">
                  <c:v>Financiranje vatrogasne zajednice Istarske županije</c:v>
                </c:pt>
                <c:pt idx="4">
                  <c:v>Rad stožara zaštite i spašavanja</c:v>
                </c:pt>
                <c:pt idx="5">
                  <c:v>Financiranje Hrvatske gorske službe spašavanja</c:v>
                </c:pt>
              </c:strCache>
            </c:strRef>
          </c:cat>
          <c:val>
            <c:numRef>
              <c:f>Vatrogastvo!$M$3:$M$8</c:f>
              <c:numCache>
                <c:formatCode>#,##0.00</c:formatCode>
                <c:ptCount val="6"/>
                <c:pt idx="0">
                  <c:v>2000</c:v>
                </c:pt>
                <c:pt idx="1">
                  <c:v>31000</c:v>
                </c:pt>
                <c:pt idx="2">
                  <c:v>59000</c:v>
                </c:pt>
                <c:pt idx="3">
                  <c:v>330</c:v>
                </c:pt>
                <c:pt idx="4">
                  <c:v>2100</c:v>
                </c:pt>
                <c:pt idx="5">
                  <c:v>150</c:v>
                </c:pt>
              </c:numCache>
            </c:numRef>
          </c:val>
          <c:extLst xmlns:c16r2="http://schemas.microsoft.com/office/drawing/2015/06/chart">
            <c:ext xmlns:c16="http://schemas.microsoft.com/office/drawing/2014/chart" uri="{C3380CC4-5D6E-409C-BE32-E72D297353CC}">
              <c16:uniqueId val="{00000004-7404-4F9E-B260-724EB7CABACB}"/>
            </c:ext>
          </c:extLst>
        </c:ser>
        <c:ser>
          <c:idx val="3"/>
          <c:order val="1"/>
          <c:tx>
            <c:strRef>
              <c:f>Vatrogastvo!$N$2</c:f>
              <c:strCache>
                <c:ptCount val="1"/>
                <c:pt idx="0">
                  <c:v>Ostvareno 2025.</c:v>
                </c:pt>
              </c:strCache>
            </c:strRef>
          </c:tx>
          <c:spPr>
            <a:solidFill>
              <a:schemeClr val="accent3">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Vatrogastvo!$C$3:$L$8</c:f>
              <c:strCache>
                <c:ptCount val="6"/>
                <c:pt idx="0">
                  <c:v>Osnovna djelatnost DVD</c:v>
                </c:pt>
                <c:pt idx="1">
                  <c:v>Financiranje Područne vatrogasne zajednice Umag</c:v>
                </c:pt>
                <c:pt idx="2">
                  <c:v>Financiranje Javne vatrogasne postrojbe</c:v>
                </c:pt>
                <c:pt idx="3">
                  <c:v>Financiranje vatrogasne zajednice Istarske županije</c:v>
                </c:pt>
                <c:pt idx="4">
                  <c:v>Rad stožara zaštite i spašavanja</c:v>
                </c:pt>
                <c:pt idx="5">
                  <c:v>Financiranje Hrvatske gorske službe spašavanja</c:v>
                </c:pt>
              </c:strCache>
            </c:strRef>
          </c:cat>
          <c:val>
            <c:numRef>
              <c:f>Vatrogastvo!$N$3:$N$8</c:f>
              <c:numCache>
                <c:formatCode>#,##0.00</c:formatCode>
                <c:ptCount val="6"/>
                <c:pt idx="0">
                  <c:v>2000</c:v>
                </c:pt>
                <c:pt idx="1">
                  <c:v>30129.15</c:v>
                </c:pt>
                <c:pt idx="2">
                  <c:v>68144.460000000006</c:v>
                </c:pt>
                <c:pt idx="3">
                  <c:v>327.57</c:v>
                </c:pt>
                <c:pt idx="4">
                  <c:v>2100</c:v>
                </c:pt>
                <c:pt idx="5">
                  <c:v>150</c:v>
                </c:pt>
              </c:numCache>
            </c:numRef>
          </c:val>
          <c:extLst xmlns:c16r2="http://schemas.microsoft.com/office/drawing/2015/06/chart">
            <c:ext xmlns:c16="http://schemas.microsoft.com/office/drawing/2014/chart" uri="{C3380CC4-5D6E-409C-BE32-E72D297353CC}">
              <c16:uniqueId val="{00000005-7404-4F9E-B260-724EB7CABACB}"/>
            </c:ext>
          </c:extLst>
        </c:ser>
        <c:dLbls>
          <c:dLblPos val="outEnd"/>
          <c:showLegendKey val="0"/>
          <c:showVal val="1"/>
          <c:showCatName val="0"/>
          <c:showSerName val="0"/>
          <c:showPercent val="0"/>
          <c:showBubbleSize val="0"/>
        </c:dLbls>
        <c:gapWidth val="75"/>
        <c:axId val="-758388560"/>
        <c:axId val="-758398896"/>
        <c:extLst xmlns:c16r2="http://schemas.microsoft.com/office/drawing/2015/06/chart"/>
      </c:barChart>
      <c:valAx>
        <c:axId val="-758398896"/>
        <c:scaling>
          <c:orientation val="minMax"/>
        </c:scaling>
        <c:delete val="0"/>
        <c:axPos val="l"/>
        <c:numFmt formatCode="#,##0.00" sourceLinked="1"/>
        <c:majorTickMark val="none"/>
        <c:minorTickMark val="none"/>
        <c:tickLblPos val="nextTo"/>
        <c:txPr>
          <a:bodyPr/>
          <a:lstStyle/>
          <a:p>
            <a:pPr>
              <a:defRPr b="1"/>
            </a:pPr>
            <a:endParaRPr lang="sr-Latn-RS"/>
          </a:p>
        </c:txPr>
        <c:crossAx val="-758388560"/>
        <c:crosses val="autoZero"/>
        <c:crossBetween val="between"/>
      </c:valAx>
      <c:catAx>
        <c:axId val="-758388560"/>
        <c:scaling>
          <c:orientation val="minMax"/>
        </c:scaling>
        <c:delete val="0"/>
        <c:axPos val="b"/>
        <c:numFmt formatCode="General" sourceLinked="1"/>
        <c:majorTickMark val="out"/>
        <c:minorTickMark val="none"/>
        <c:tickLblPos val="nextTo"/>
        <c:txPr>
          <a:bodyPr/>
          <a:lstStyle/>
          <a:p>
            <a:pPr>
              <a:defRPr b="1"/>
            </a:pPr>
            <a:endParaRPr lang="sr-Latn-RS"/>
          </a:p>
        </c:txPr>
        <c:crossAx val="-758398896"/>
        <c:crosses val="autoZero"/>
        <c:auto val="1"/>
        <c:lblAlgn val="ctr"/>
        <c:lblOffset val="100"/>
        <c:noMultiLvlLbl val="0"/>
      </c:catAx>
      <c:dTable>
        <c:showHorzBorder val="1"/>
        <c:showVertBorder val="1"/>
        <c:showOutline val="1"/>
        <c:showKeys val="1"/>
        <c:txPr>
          <a:bodyPr/>
          <a:lstStyle/>
          <a:p>
            <a:pPr rtl="0">
              <a:defRPr b="1"/>
            </a:pPr>
            <a:endParaRPr lang="sr-Latn-RS"/>
          </a:p>
        </c:txPr>
      </c:dTable>
      <c:spPr>
        <a:solidFill>
          <a:schemeClr val="bg1">
            <a:lumMod val="95000"/>
          </a:schemeClr>
        </a:solidFill>
      </c:spPr>
    </c:plotArea>
    <c:plotVisOnly val="1"/>
    <c:dispBlanksAs val="zero"/>
    <c:showDLblsOverMax val="0"/>
  </c:chart>
  <c:spPr>
    <a:solidFill>
      <a:schemeClr val="bg1">
        <a:lumMod val="95000"/>
      </a:schemeClr>
    </a:solidFill>
  </c:sp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E01C3-E051-4734-9B5E-0B53DA9C0C22}" type="doc">
      <dgm:prSet loTypeId="urn:microsoft.com/office/officeart/2005/8/layout/hList3" loCatId="list" qsTypeId="urn:microsoft.com/office/officeart/2005/8/quickstyle/3d2#1" qsCatId="3D" csTypeId="urn:microsoft.com/office/officeart/2005/8/colors/colorful1#1" csCatId="colorful" phldr="1"/>
      <dgm:spPr/>
      <dgm:t>
        <a:bodyPr/>
        <a:lstStyle/>
        <a:p>
          <a:endParaRPr lang="hr-HR"/>
        </a:p>
      </dgm:t>
    </dgm:pt>
    <dgm:pt modelId="{CF1FF59F-E14F-4637-A34D-7665CD9EE582}">
      <dgm:prSet phldrT="[Text]" custT="1"/>
      <dgm:spPr/>
      <dgm:t>
        <a:bodyPr/>
        <a:lstStyle/>
        <a:p>
          <a:r>
            <a:rPr lang="hr-HR" sz="3200" i="1"/>
            <a:t>Definirani programi:</a:t>
          </a:r>
        </a:p>
      </dgm:t>
    </dgm:pt>
    <dgm:pt modelId="{329ED0DB-3EE8-46B0-B100-0D78B9789953}" type="parTrans" cxnId="{0E2B8F81-C966-46B2-BA96-0C5801E0AA26}">
      <dgm:prSet/>
      <dgm:spPr/>
      <dgm:t>
        <a:bodyPr/>
        <a:lstStyle/>
        <a:p>
          <a:endParaRPr lang="hr-HR"/>
        </a:p>
      </dgm:t>
    </dgm:pt>
    <dgm:pt modelId="{F9906221-A396-4F88-81A6-07706CE44FD0}" type="sibTrans" cxnId="{0E2B8F81-C966-46B2-BA96-0C5801E0AA26}">
      <dgm:prSet/>
      <dgm:spPr/>
      <dgm:t>
        <a:bodyPr/>
        <a:lstStyle/>
        <a:p>
          <a:endParaRPr lang="hr-HR"/>
        </a:p>
      </dgm:t>
    </dgm:pt>
    <dgm:pt modelId="{6FD12B5C-EFFF-4F13-ABD3-DD3C8D8DFB93}">
      <dgm:prSet phldrT="[Text]" custT="1"/>
      <dgm:spPr/>
      <dgm:t>
        <a:bodyPr vert="vert270"/>
        <a:lstStyle/>
        <a:p>
          <a:r>
            <a:rPr lang="hr-HR" sz="1200"/>
            <a:t>P1001</a:t>
          </a:r>
        </a:p>
        <a:p>
          <a:r>
            <a:rPr lang="hr-HR" sz="1200"/>
            <a:t>Mjere i aktivnosti za osiguranje rada iz djelokruga izvršne vlasti</a:t>
          </a:r>
        </a:p>
      </dgm:t>
    </dgm:pt>
    <dgm:pt modelId="{35601348-BE1E-4D30-8987-7A085A36D8CF}" type="parTrans" cxnId="{1359247C-15D4-47F7-9D7F-CCAA81B69E35}">
      <dgm:prSet/>
      <dgm:spPr/>
      <dgm:t>
        <a:bodyPr/>
        <a:lstStyle/>
        <a:p>
          <a:endParaRPr lang="hr-HR"/>
        </a:p>
      </dgm:t>
    </dgm:pt>
    <dgm:pt modelId="{ABD2F107-799D-47B7-838A-03B0D13EAA5B}" type="sibTrans" cxnId="{1359247C-15D4-47F7-9D7F-CCAA81B69E35}">
      <dgm:prSet/>
      <dgm:spPr/>
      <dgm:t>
        <a:bodyPr/>
        <a:lstStyle/>
        <a:p>
          <a:endParaRPr lang="hr-HR"/>
        </a:p>
      </dgm:t>
    </dgm:pt>
    <dgm:pt modelId="{F3F5D835-9807-4E1F-859A-8A1952A87165}">
      <dgm:prSet phldrT="[Text]" custT="1"/>
      <dgm:spPr/>
      <dgm:t>
        <a:bodyPr vert="vert270"/>
        <a:lstStyle/>
        <a:p>
          <a:r>
            <a:rPr lang="hr-HR" sz="1200"/>
            <a:t>P2001</a:t>
          </a:r>
        </a:p>
        <a:p>
          <a:r>
            <a:rPr lang="hr-HR" sz="1200"/>
            <a:t>Mjere i aktivnosti za osiguranje rada iz djelokruga jedinstvenog upravnog odjela</a:t>
          </a:r>
          <a:endParaRPr lang="hr-HR" sz="1200">
            <a:solidFill>
              <a:srgbClr val="FF0000"/>
            </a:solidFill>
          </a:endParaRPr>
        </a:p>
      </dgm:t>
    </dgm:pt>
    <dgm:pt modelId="{72D0009E-E1BF-4211-8104-336759CAD06D}" type="parTrans" cxnId="{8EF50B47-637D-4DED-9492-F3D66B4EE00B}">
      <dgm:prSet/>
      <dgm:spPr/>
      <dgm:t>
        <a:bodyPr/>
        <a:lstStyle/>
        <a:p>
          <a:endParaRPr lang="hr-HR"/>
        </a:p>
      </dgm:t>
    </dgm:pt>
    <dgm:pt modelId="{4DCE8EB9-889C-4B4C-BC17-84DFA2ABCFCF}" type="sibTrans" cxnId="{8EF50B47-637D-4DED-9492-F3D66B4EE00B}">
      <dgm:prSet/>
      <dgm:spPr/>
      <dgm:t>
        <a:bodyPr/>
        <a:lstStyle/>
        <a:p>
          <a:endParaRPr lang="hr-HR"/>
        </a:p>
      </dgm:t>
    </dgm:pt>
    <dgm:pt modelId="{9D640440-2F83-4492-975F-268DFF72EB5A}">
      <dgm:prSet phldrT="[Text]" custT="1"/>
      <dgm:spPr/>
      <dgm:t>
        <a:bodyPr vert="vert270"/>
        <a:lstStyle/>
        <a:p>
          <a:r>
            <a:rPr lang="hr-HR" sz="1200"/>
            <a:t>P2006</a:t>
          </a:r>
        </a:p>
        <a:p>
          <a:r>
            <a:rPr lang="hr-HR" sz="1200"/>
            <a:t>Održavanje objekata i uređaja komunalne infrastrukture</a:t>
          </a:r>
        </a:p>
      </dgm:t>
    </dgm:pt>
    <dgm:pt modelId="{5F59B2F4-FEEF-4C69-81C6-01B0C81E1A35}" type="parTrans" cxnId="{E87A3543-75AC-452A-BB2C-38AD0877F093}">
      <dgm:prSet/>
      <dgm:spPr/>
      <dgm:t>
        <a:bodyPr/>
        <a:lstStyle/>
        <a:p>
          <a:endParaRPr lang="hr-HR"/>
        </a:p>
      </dgm:t>
    </dgm:pt>
    <dgm:pt modelId="{8CAA6B99-7ADA-49F4-86BE-6337BF408419}" type="sibTrans" cxnId="{E87A3543-75AC-452A-BB2C-38AD0877F093}">
      <dgm:prSet/>
      <dgm:spPr/>
      <dgm:t>
        <a:bodyPr/>
        <a:lstStyle/>
        <a:p>
          <a:endParaRPr lang="hr-HR"/>
        </a:p>
      </dgm:t>
    </dgm:pt>
    <dgm:pt modelId="{4A16067D-A79A-48C9-9015-40D086025701}">
      <dgm:prSet phldrT="[Text]" custT="1"/>
      <dgm:spPr/>
      <dgm:t>
        <a:bodyPr vert="vert270"/>
        <a:lstStyle/>
        <a:p>
          <a:r>
            <a:rPr lang="hr-HR" sz="1200"/>
            <a:t>P2002</a:t>
          </a:r>
        </a:p>
        <a:p>
          <a:r>
            <a:rPr lang="hr-HR" sz="1200"/>
            <a:t>Prostorno planska dokumentacija</a:t>
          </a:r>
        </a:p>
      </dgm:t>
    </dgm:pt>
    <dgm:pt modelId="{C594983D-A29F-4B41-A3F0-8A989C1BE493}" type="parTrans" cxnId="{50C40ED4-8554-4989-979C-492171A006AD}">
      <dgm:prSet/>
      <dgm:spPr/>
      <dgm:t>
        <a:bodyPr/>
        <a:lstStyle/>
        <a:p>
          <a:endParaRPr lang="hr-HR"/>
        </a:p>
      </dgm:t>
    </dgm:pt>
    <dgm:pt modelId="{E8178E56-FB38-4FAB-9563-4DBA9E6BACF7}" type="sibTrans" cxnId="{50C40ED4-8554-4989-979C-492171A006AD}">
      <dgm:prSet/>
      <dgm:spPr/>
      <dgm:t>
        <a:bodyPr/>
        <a:lstStyle/>
        <a:p>
          <a:endParaRPr lang="hr-HR"/>
        </a:p>
      </dgm:t>
    </dgm:pt>
    <dgm:pt modelId="{E7563131-A381-450E-8B07-D0A38DADECFF}">
      <dgm:prSet phldrT="[Text]" custT="1"/>
      <dgm:spPr/>
      <dgm:t>
        <a:bodyPr vert="vert270"/>
        <a:lstStyle/>
        <a:p>
          <a:r>
            <a:rPr lang="hr-HR" sz="1200"/>
            <a:t>P2003</a:t>
          </a:r>
        </a:p>
        <a:p>
          <a:r>
            <a:rPr lang="hr-HR" sz="1200"/>
            <a:t>Upravljanje imovinom</a:t>
          </a:r>
        </a:p>
      </dgm:t>
    </dgm:pt>
    <dgm:pt modelId="{A984DEE6-B95A-42D0-ADF5-1C3F0CC68B27}" type="parTrans" cxnId="{BAA197BE-430C-44AD-86A6-A5AAB148F284}">
      <dgm:prSet/>
      <dgm:spPr/>
      <dgm:t>
        <a:bodyPr/>
        <a:lstStyle/>
        <a:p>
          <a:endParaRPr lang="hr-HR"/>
        </a:p>
      </dgm:t>
    </dgm:pt>
    <dgm:pt modelId="{DB54BEB3-534A-4509-9163-EC7CF9C72A02}" type="sibTrans" cxnId="{BAA197BE-430C-44AD-86A6-A5AAB148F284}">
      <dgm:prSet/>
      <dgm:spPr/>
      <dgm:t>
        <a:bodyPr/>
        <a:lstStyle/>
        <a:p>
          <a:endParaRPr lang="hr-HR"/>
        </a:p>
      </dgm:t>
    </dgm:pt>
    <dgm:pt modelId="{CF6EF85F-E681-4637-87AE-7DF22C693BBF}">
      <dgm:prSet phldrT="[Text]" custT="1"/>
      <dgm:spPr/>
      <dgm:t>
        <a:bodyPr vert="vert270"/>
        <a:lstStyle/>
        <a:p>
          <a:r>
            <a:rPr lang="hr-HR" sz="1200"/>
            <a:t>P2004</a:t>
          </a:r>
        </a:p>
        <a:p>
          <a:r>
            <a:rPr lang="hr-HR" sz="1200"/>
            <a:t>Vatrogastvo i civilna zaštita</a:t>
          </a:r>
        </a:p>
      </dgm:t>
    </dgm:pt>
    <dgm:pt modelId="{3698FD13-599B-48D5-A9E8-269B2FAC4917}" type="parTrans" cxnId="{B5B48B63-B017-4417-98F6-C3D3FB08BA73}">
      <dgm:prSet/>
      <dgm:spPr/>
      <dgm:t>
        <a:bodyPr/>
        <a:lstStyle/>
        <a:p>
          <a:endParaRPr lang="hr-HR"/>
        </a:p>
      </dgm:t>
    </dgm:pt>
    <dgm:pt modelId="{482C57DF-3A63-440F-8981-31F59476DC2B}" type="sibTrans" cxnId="{B5B48B63-B017-4417-98F6-C3D3FB08BA73}">
      <dgm:prSet/>
      <dgm:spPr/>
      <dgm:t>
        <a:bodyPr/>
        <a:lstStyle/>
        <a:p>
          <a:endParaRPr lang="hr-HR"/>
        </a:p>
      </dgm:t>
    </dgm:pt>
    <dgm:pt modelId="{A0ECF898-F6CD-4D51-9B4B-28087901A03B}">
      <dgm:prSet phldrT="[Text]" custT="1"/>
      <dgm:spPr/>
      <dgm:t>
        <a:bodyPr vert="vert270"/>
        <a:lstStyle/>
        <a:p>
          <a:r>
            <a:rPr lang="hr-HR" sz="1200"/>
            <a:t>P2005</a:t>
          </a:r>
        </a:p>
        <a:p>
          <a:r>
            <a:rPr lang="hr-HR" sz="1200"/>
            <a:t>Poticaj razvoja poljoprivrede i poduzetništva</a:t>
          </a:r>
        </a:p>
      </dgm:t>
    </dgm:pt>
    <dgm:pt modelId="{312D0CF6-2E4D-4B05-A25A-00FB7A74D1CB}" type="parTrans" cxnId="{92E91C41-6DAF-4382-9D75-8F91ABDC3062}">
      <dgm:prSet/>
      <dgm:spPr/>
      <dgm:t>
        <a:bodyPr/>
        <a:lstStyle/>
        <a:p>
          <a:endParaRPr lang="hr-HR"/>
        </a:p>
      </dgm:t>
    </dgm:pt>
    <dgm:pt modelId="{BF1FDB7F-7421-4946-9493-D5FF3E17176C}" type="sibTrans" cxnId="{92E91C41-6DAF-4382-9D75-8F91ABDC3062}">
      <dgm:prSet/>
      <dgm:spPr/>
      <dgm:t>
        <a:bodyPr/>
        <a:lstStyle/>
        <a:p>
          <a:endParaRPr lang="hr-HR"/>
        </a:p>
      </dgm:t>
    </dgm:pt>
    <dgm:pt modelId="{E32988F1-594D-42CC-B3FC-087A706E4E42}">
      <dgm:prSet phldrT="[Text]" custT="1"/>
      <dgm:spPr/>
      <dgm:t>
        <a:bodyPr vert="vert270"/>
        <a:lstStyle/>
        <a:p>
          <a:r>
            <a:rPr lang="hr-HR" sz="1200"/>
            <a:t>P2007</a:t>
          </a:r>
        </a:p>
        <a:p>
          <a:r>
            <a:rPr lang="hr-HR" sz="1200"/>
            <a:t>Izgradnja objekata i uređaja komunalne infrastrukture</a:t>
          </a:r>
        </a:p>
      </dgm:t>
    </dgm:pt>
    <dgm:pt modelId="{0712932A-F2A3-4D3A-BA81-4964765CCAD6}" type="sibTrans" cxnId="{A144D991-D024-47E1-A52F-67B31EE2D7FE}">
      <dgm:prSet/>
      <dgm:spPr/>
      <dgm:t>
        <a:bodyPr/>
        <a:lstStyle/>
        <a:p>
          <a:endParaRPr lang="hr-HR"/>
        </a:p>
      </dgm:t>
    </dgm:pt>
    <dgm:pt modelId="{02BEE50C-9022-43EC-B966-6D0B91DA203F}" type="parTrans" cxnId="{A144D991-D024-47E1-A52F-67B31EE2D7FE}">
      <dgm:prSet/>
      <dgm:spPr/>
      <dgm:t>
        <a:bodyPr/>
        <a:lstStyle/>
        <a:p>
          <a:endParaRPr lang="hr-HR"/>
        </a:p>
      </dgm:t>
    </dgm:pt>
    <dgm:pt modelId="{46C55480-D478-4CD8-8B4F-5DBF0FD92D99}">
      <dgm:prSet phldrT="[Text]" custT="1"/>
      <dgm:spPr/>
      <dgm:t>
        <a:bodyPr vert="vert270"/>
        <a:lstStyle/>
        <a:p>
          <a:r>
            <a:rPr lang="hr-HR" sz="1200"/>
            <a:t>P2009</a:t>
          </a:r>
        </a:p>
        <a:p>
          <a:r>
            <a:rPr lang="hr-HR" sz="1200"/>
            <a:t>Dodatne usluge u zdravstvu i preventiva</a:t>
          </a:r>
        </a:p>
      </dgm:t>
    </dgm:pt>
    <dgm:pt modelId="{46CF23A5-004F-47FE-8D37-A3D594820356}" type="sibTrans" cxnId="{F24C68C3-4D2C-491F-9AC5-7F007DD8CB33}">
      <dgm:prSet/>
      <dgm:spPr/>
      <dgm:t>
        <a:bodyPr/>
        <a:lstStyle/>
        <a:p>
          <a:endParaRPr lang="hr-HR"/>
        </a:p>
      </dgm:t>
    </dgm:pt>
    <dgm:pt modelId="{385A4ED4-6437-48B9-B292-C45334835A61}" type="parTrans" cxnId="{F24C68C3-4D2C-491F-9AC5-7F007DD8CB33}">
      <dgm:prSet/>
      <dgm:spPr/>
      <dgm:t>
        <a:bodyPr/>
        <a:lstStyle/>
        <a:p>
          <a:endParaRPr lang="hr-HR"/>
        </a:p>
      </dgm:t>
    </dgm:pt>
    <dgm:pt modelId="{DC29D068-865F-46AC-BCED-B877E95008EB}">
      <dgm:prSet phldrT="[Text]" custT="1"/>
      <dgm:spPr/>
      <dgm:t>
        <a:bodyPr vert="vert270"/>
        <a:lstStyle/>
        <a:p>
          <a:r>
            <a:rPr lang="hr-HR" sz="1200"/>
            <a:t>P2010                                                                                                      Socijalna skrb i novčana pomoć</a:t>
          </a:r>
        </a:p>
      </dgm:t>
    </dgm:pt>
    <dgm:pt modelId="{823C0D1C-E04C-4BB6-82A5-5751BE165FBA}" type="sibTrans" cxnId="{246132AF-9500-42E5-9238-47152722DC07}">
      <dgm:prSet/>
      <dgm:spPr/>
      <dgm:t>
        <a:bodyPr/>
        <a:lstStyle/>
        <a:p>
          <a:endParaRPr lang="hr-HR"/>
        </a:p>
      </dgm:t>
    </dgm:pt>
    <dgm:pt modelId="{D4696CA4-0AF2-4FBB-BAD5-02AC1019E791}" type="parTrans" cxnId="{246132AF-9500-42E5-9238-47152722DC07}">
      <dgm:prSet/>
      <dgm:spPr/>
      <dgm:t>
        <a:bodyPr/>
        <a:lstStyle/>
        <a:p>
          <a:endParaRPr lang="hr-HR"/>
        </a:p>
      </dgm:t>
    </dgm:pt>
    <dgm:pt modelId="{73D3D024-E3E5-403B-AAE2-54040B866117}">
      <dgm:prSet phldrT="[Text]" custT="1"/>
      <dgm:spPr/>
      <dgm:t>
        <a:bodyPr vert="vert270"/>
        <a:lstStyle/>
        <a:p>
          <a:r>
            <a:rPr lang="hr-HR" sz="1200"/>
            <a:t>P2012                                                                           Javne potrebe u kulturi</a:t>
          </a:r>
        </a:p>
      </dgm:t>
    </dgm:pt>
    <dgm:pt modelId="{C7A206EF-D170-41BE-843C-F20B052DF7FD}" type="parTrans" cxnId="{2BD5A82A-8231-4A59-A29B-2A8F7C25B91E}">
      <dgm:prSet/>
      <dgm:spPr/>
      <dgm:t>
        <a:bodyPr/>
        <a:lstStyle/>
        <a:p>
          <a:endParaRPr lang="hr-HR"/>
        </a:p>
      </dgm:t>
    </dgm:pt>
    <dgm:pt modelId="{EE02A2B9-2CFF-47AE-A3CD-42091957A8FA}" type="sibTrans" cxnId="{2BD5A82A-8231-4A59-A29B-2A8F7C25B91E}">
      <dgm:prSet/>
      <dgm:spPr/>
      <dgm:t>
        <a:bodyPr/>
        <a:lstStyle/>
        <a:p>
          <a:endParaRPr lang="hr-HR"/>
        </a:p>
      </dgm:t>
    </dgm:pt>
    <dgm:pt modelId="{F6AAC8F0-321A-4E4D-B37E-3FA11EF1EF28}">
      <dgm:prSet phldrT="[Text]" custT="1"/>
      <dgm:spPr/>
      <dgm:t>
        <a:bodyPr vert="vert270"/>
        <a:lstStyle/>
        <a:p>
          <a:r>
            <a:rPr lang="hr-HR" sz="1200"/>
            <a:t>P2015                                                                Predškolski odgoj i obrazovanje</a:t>
          </a:r>
        </a:p>
      </dgm:t>
    </dgm:pt>
    <dgm:pt modelId="{22010013-2F4C-414D-BBAC-651C087B7D85}" type="parTrans" cxnId="{3A770A16-4F7F-47FA-B377-B7BFD5021DAC}">
      <dgm:prSet/>
      <dgm:spPr/>
      <dgm:t>
        <a:bodyPr/>
        <a:lstStyle/>
        <a:p>
          <a:endParaRPr lang="hr-HR"/>
        </a:p>
      </dgm:t>
    </dgm:pt>
    <dgm:pt modelId="{36EC74D9-C211-4BB0-A516-A353FE104CC3}" type="sibTrans" cxnId="{3A770A16-4F7F-47FA-B377-B7BFD5021DAC}">
      <dgm:prSet/>
      <dgm:spPr/>
      <dgm:t>
        <a:bodyPr/>
        <a:lstStyle/>
        <a:p>
          <a:endParaRPr lang="hr-HR"/>
        </a:p>
      </dgm:t>
    </dgm:pt>
    <dgm:pt modelId="{0B26381B-D56B-406B-8864-CDA74DE56763}">
      <dgm:prSet phldrT="[Text]" custT="1"/>
      <dgm:spPr/>
      <dgm:t>
        <a:bodyPr vert="vert270"/>
        <a:lstStyle/>
        <a:p>
          <a:r>
            <a:rPr lang="hr-HR" sz="1200"/>
            <a:t>P2011                                                                           Javne potrebe u sportu</a:t>
          </a:r>
        </a:p>
      </dgm:t>
    </dgm:pt>
    <dgm:pt modelId="{19505F8B-BFCC-42F7-AC9D-102BE9B76176}" type="parTrans" cxnId="{EC39BF24-AE09-463D-AF45-8E8925A25E40}">
      <dgm:prSet/>
      <dgm:spPr/>
      <dgm:t>
        <a:bodyPr/>
        <a:lstStyle/>
        <a:p>
          <a:endParaRPr lang="hr-HR"/>
        </a:p>
      </dgm:t>
    </dgm:pt>
    <dgm:pt modelId="{2F78AAD8-FAB3-4F22-85FB-A50582A747B9}" type="sibTrans" cxnId="{EC39BF24-AE09-463D-AF45-8E8925A25E40}">
      <dgm:prSet/>
      <dgm:spPr/>
      <dgm:t>
        <a:bodyPr/>
        <a:lstStyle/>
        <a:p>
          <a:endParaRPr lang="hr-HR"/>
        </a:p>
      </dgm:t>
    </dgm:pt>
    <dgm:pt modelId="{ED27AA12-FBB8-45AE-BDE0-056BDE1121C3}">
      <dgm:prSet phldrT="[Text]" custT="1"/>
      <dgm:spPr/>
      <dgm:t>
        <a:bodyPr vert="vert270"/>
        <a:lstStyle/>
        <a:p>
          <a:r>
            <a:rPr lang="hr-HR" sz="1200"/>
            <a:t>P 1002</a:t>
          </a:r>
        </a:p>
        <a:p>
          <a:r>
            <a:rPr lang="hr-HR" sz="1200"/>
            <a:t> Mjere i aktivnosti za osiguranje rada iz djelokruga predstavničke vlasti</a:t>
          </a:r>
        </a:p>
      </dgm:t>
    </dgm:pt>
    <dgm:pt modelId="{EEC3C429-25D7-4AEB-B070-4319557904EE}" type="parTrans" cxnId="{D6689F18-6296-4E17-9840-80A576CAC418}">
      <dgm:prSet/>
      <dgm:spPr/>
      <dgm:t>
        <a:bodyPr/>
        <a:lstStyle/>
        <a:p>
          <a:endParaRPr lang="hr-HR"/>
        </a:p>
      </dgm:t>
    </dgm:pt>
    <dgm:pt modelId="{6CAC2BDC-F052-4EE5-A27A-9F5F4F1FDEBF}" type="sibTrans" cxnId="{D6689F18-6296-4E17-9840-80A576CAC418}">
      <dgm:prSet/>
      <dgm:spPr/>
      <dgm:t>
        <a:bodyPr/>
        <a:lstStyle/>
        <a:p>
          <a:endParaRPr lang="hr-HR"/>
        </a:p>
      </dgm:t>
    </dgm:pt>
    <dgm:pt modelId="{3A702464-F9E6-4E97-9579-CF6308A523D0}">
      <dgm:prSet phldrT="[Text]" custT="1"/>
      <dgm:spPr/>
      <dgm:t>
        <a:bodyPr vert="vert270"/>
        <a:lstStyle/>
        <a:p>
          <a:r>
            <a:rPr lang="hr-HR" sz="1200"/>
            <a:t>P2008 Zaštita okoliša</a:t>
          </a:r>
        </a:p>
      </dgm:t>
    </dgm:pt>
    <dgm:pt modelId="{D4C0D744-940C-43DC-B124-3FD773CF8E0D}" type="parTrans" cxnId="{B7B05F51-9C06-498E-9EC8-C715C82F2B81}">
      <dgm:prSet/>
      <dgm:spPr/>
      <dgm:t>
        <a:bodyPr/>
        <a:lstStyle/>
        <a:p>
          <a:endParaRPr lang="hr-HR"/>
        </a:p>
      </dgm:t>
    </dgm:pt>
    <dgm:pt modelId="{1D03B5D8-42E5-471D-A18C-6AA76BCF8171}" type="sibTrans" cxnId="{B7B05F51-9C06-498E-9EC8-C715C82F2B81}">
      <dgm:prSet/>
      <dgm:spPr/>
      <dgm:t>
        <a:bodyPr/>
        <a:lstStyle/>
        <a:p>
          <a:endParaRPr lang="hr-HR"/>
        </a:p>
      </dgm:t>
    </dgm:pt>
    <dgm:pt modelId="{07854A49-A585-46CA-873A-77A710BE9F9F}">
      <dgm:prSet phldrT="[Text]" custT="1"/>
      <dgm:spPr/>
      <dgm:t>
        <a:bodyPr vert="vert270"/>
        <a:lstStyle/>
        <a:p>
          <a:r>
            <a:rPr lang="hr-HR" sz="1200"/>
            <a:t>P2013</a:t>
          </a:r>
        </a:p>
        <a:p>
          <a:r>
            <a:rPr lang="hr-HR" sz="1200"/>
            <a:t> Poticanje razvoja turizma</a:t>
          </a:r>
        </a:p>
      </dgm:t>
    </dgm:pt>
    <dgm:pt modelId="{6D88A1B1-482C-42EA-A140-CC2F01B649C0}" type="parTrans" cxnId="{7DA7FE8C-B052-4FC5-8E5B-C2B8340AFD51}">
      <dgm:prSet/>
      <dgm:spPr/>
      <dgm:t>
        <a:bodyPr/>
        <a:lstStyle/>
        <a:p>
          <a:endParaRPr lang="hr-HR"/>
        </a:p>
      </dgm:t>
    </dgm:pt>
    <dgm:pt modelId="{45DECB4D-ADA1-4660-9790-963DA05BA7EF}" type="sibTrans" cxnId="{7DA7FE8C-B052-4FC5-8E5B-C2B8340AFD51}">
      <dgm:prSet/>
      <dgm:spPr/>
      <dgm:t>
        <a:bodyPr/>
        <a:lstStyle/>
        <a:p>
          <a:endParaRPr lang="hr-HR"/>
        </a:p>
      </dgm:t>
    </dgm:pt>
    <dgm:pt modelId="{2E56105E-EE8B-4315-857D-C4541D07242A}">
      <dgm:prSet phldrT="[Text]" custT="1"/>
      <dgm:spPr/>
      <dgm:t>
        <a:bodyPr vert="vert270"/>
        <a:lstStyle/>
        <a:p>
          <a:r>
            <a:rPr lang="hr-HR" sz="1200"/>
            <a:t>P2016</a:t>
          </a:r>
        </a:p>
        <a:p>
          <a:r>
            <a:rPr lang="hr-HR" sz="1200"/>
            <a:t> Prostorno uređenje i unapređenje stanovanja</a:t>
          </a:r>
        </a:p>
      </dgm:t>
    </dgm:pt>
    <dgm:pt modelId="{EF8D740C-5572-4C3B-977F-E9CF5B46805F}" type="parTrans" cxnId="{AA067281-920B-4FB4-9F2B-9AFAC0CC1FCE}">
      <dgm:prSet/>
      <dgm:spPr/>
      <dgm:t>
        <a:bodyPr/>
        <a:lstStyle/>
        <a:p>
          <a:endParaRPr lang="hr-HR"/>
        </a:p>
      </dgm:t>
    </dgm:pt>
    <dgm:pt modelId="{EA8ED919-A724-4F6B-B3F2-ED1A5C59F2D5}" type="sibTrans" cxnId="{AA067281-920B-4FB4-9F2B-9AFAC0CC1FCE}">
      <dgm:prSet/>
      <dgm:spPr/>
      <dgm:t>
        <a:bodyPr/>
        <a:lstStyle/>
        <a:p>
          <a:endParaRPr lang="hr-HR"/>
        </a:p>
      </dgm:t>
    </dgm:pt>
    <dgm:pt modelId="{0776A071-89DE-4371-9CB6-9CB59FB6811B}" type="pres">
      <dgm:prSet presAssocID="{4CEE01C3-E051-4734-9B5E-0B53DA9C0C22}" presName="composite" presStyleCnt="0">
        <dgm:presLayoutVars>
          <dgm:chMax val="1"/>
          <dgm:dir/>
          <dgm:resizeHandles val="exact"/>
        </dgm:presLayoutVars>
      </dgm:prSet>
      <dgm:spPr/>
      <dgm:t>
        <a:bodyPr/>
        <a:lstStyle/>
        <a:p>
          <a:endParaRPr lang="hr-HR"/>
        </a:p>
      </dgm:t>
    </dgm:pt>
    <dgm:pt modelId="{351E325D-E049-4895-A7CD-7CD91B95996C}" type="pres">
      <dgm:prSet presAssocID="{CF1FF59F-E14F-4637-A34D-7665CD9EE582}" presName="roof" presStyleLbl="dkBgShp" presStyleIdx="0" presStyleCnt="2" custScaleY="72853" custLinFactNeighborX="104" custLinFactNeighborY="5358"/>
      <dgm:spPr/>
      <dgm:t>
        <a:bodyPr/>
        <a:lstStyle/>
        <a:p>
          <a:endParaRPr lang="hr-HR"/>
        </a:p>
      </dgm:t>
    </dgm:pt>
    <dgm:pt modelId="{19D94DD5-17AC-48DD-8B97-4E5263D22FE8}" type="pres">
      <dgm:prSet presAssocID="{CF1FF59F-E14F-4637-A34D-7665CD9EE582}" presName="pillars" presStyleCnt="0"/>
      <dgm:spPr/>
    </dgm:pt>
    <dgm:pt modelId="{B4D4F469-8343-4F9B-8F25-5AA8EDA0AA6B}" type="pres">
      <dgm:prSet presAssocID="{CF1FF59F-E14F-4637-A34D-7665CD9EE582}" presName="pillar1" presStyleLbl="node1" presStyleIdx="0" presStyleCnt="17" custAng="0" custScaleX="61578" custLinFactNeighborX="-538">
        <dgm:presLayoutVars>
          <dgm:bulletEnabled val="1"/>
        </dgm:presLayoutVars>
      </dgm:prSet>
      <dgm:spPr/>
      <dgm:t>
        <a:bodyPr/>
        <a:lstStyle/>
        <a:p>
          <a:endParaRPr lang="hr-HR"/>
        </a:p>
      </dgm:t>
    </dgm:pt>
    <dgm:pt modelId="{B375DD73-9B75-462B-903F-673008AEB5DC}" type="pres">
      <dgm:prSet presAssocID="{ED27AA12-FBB8-45AE-BDE0-056BDE1121C3}" presName="pillarX" presStyleLbl="node1" presStyleIdx="1" presStyleCnt="17" custScaleX="58361">
        <dgm:presLayoutVars>
          <dgm:bulletEnabled val="1"/>
        </dgm:presLayoutVars>
      </dgm:prSet>
      <dgm:spPr/>
      <dgm:t>
        <a:bodyPr/>
        <a:lstStyle/>
        <a:p>
          <a:endParaRPr lang="hr-HR"/>
        </a:p>
      </dgm:t>
    </dgm:pt>
    <dgm:pt modelId="{9F95E25A-1490-4DBA-BE00-27E2657A4D19}" type="pres">
      <dgm:prSet presAssocID="{F3F5D835-9807-4E1F-859A-8A1952A87165}" presName="pillarX" presStyleLbl="node1" presStyleIdx="2" presStyleCnt="17" custAng="0" custScaleX="48042" custLinFactNeighborX="3766">
        <dgm:presLayoutVars>
          <dgm:bulletEnabled val="1"/>
        </dgm:presLayoutVars>
      </dgm:prSet>
      <dgm:spPr/>
      <dgm:t>
        <a:bodyPr/>
        <a:lstStyle/>
        <a:p>
          <a:endParaRPr lang="hr-HR"/>
        </a:p>
      </dgm:t>
    </dgm:pt>
    <dgm:pt modelId="{14C5D9A1-891A-45BA-A6E0-57481CE6B061}" type="pres">
      <dgm:prSet presAssocID="{4A16067D-A79A-48C9-9015-40D086025701}" presName="pillarX" presStyleLbl="node1" presStyleIdx="3" presStyleCnt="17" custAng="0" custScaleX="38846">
        <dgm:presLayoutVars>
          <dgm:bulletEnabled val="1"/>
        </dgm:presLayoutVars>
      </dgm:prSet>
      <dgm:spPr/>
      <dgm:t>
        <a:bodyPr/>
        <a:lstStyle/>
        <a:p>
          <a:endParaRPr lang="hr-HR"/>
        </a:p>
      </dgm:t>
    </dgm:pt>
    <dgm:pt modelId="{6BC06A2F-8EE0-4808-B59C-FB1700192732}" type="pres">
      <dgm:prSet presAssocID="{E7563131-A381-450E-8B07-D0A38DADECFF}" presName="pillarX" presStyleLbl="node1" presStyleIdx="4" presStyleCnt="17" custAng="0" custScaleX="54920">
        <dgm:presLayoutVars>
          <dgm:bulletEnabled val="1"/>
        </dgm:presLayoutVars>
      </dgm:prSet>
      <dgm:spPr/>
      <dgm:t>
        <a:bodyPr/>
        <a:lstStyle/>
        <a:p>
          <a:endParaRPr lang="hr-HR"/>
        </a:p>
      </dgm:t>
    </dgm:pt>
    <dgm:pt modelId="{023662B6-48E2-4B90-B6FC-06AA0BDABCBA}" type="pres">
      <dgm:prSet presAssocID="{CF6EF85F-E681-4637-87AE-7DF22C693BBF}" presName="pillarX" presStyleLbl="node1" presStyleIdx="5" presStyleCnt="17" custAng="0" custScaleX="54920">
        <dgm:presLayoutVars>
          <dgm:bulletEnabled val="1"/>
        </dgm:presLayoutVars>
      </dgm:prSet>
      <dgm:spPr/>
      <dgm:t>
        <a:bodyPr/>
        <a:lstStyle/>
        <a:p>
          <a:endParaRPr lang="hr-HR"/>
        </a:p>
      </dgm:t>
    </dgm:pt>
    <dgm:pt modelId="{642C41D7-B59D-4B0C-BEE3-07349530B734}" type="pres">
      <dgm:prSet presAssocID="{A0ECF898-F6CD-4D51-9B4B-28087901A03B}" presName="pillarX" presStyleLbl="node1" presStyleIdx="6" presStyleCnt="17" custAng="0" custScaleX="47057">
        <dgm:presLayoutVars>
          <dgm:bulletEnabled val="1"/>
        </dgm:presLayoutVars>
      </dgm:prSet>
      <dgm:spPr/>
      <dgm:t>
        <a:bodyPr/>
        <a:lstStyle/>
        <a:p>
          <a:endParaRPr lang="hr-HR"/>
        </a:p>
      </dgm:t>
    </dgm:pt>
    <dgm:pt modelId="{F2327E8C-4771-4B56-B83F-35345EAF31FB}" type="pres">
      <dgm:prSet presAssocID="{9D640440-2F83-4492-975F-268DFF72EB5A}" presName="pillarX" presStyleLbl="node1" presStyleIdx="7" presStyleCnt="17" custAng="0" custScaleX="54920">
        <dgm:presLayoutVars>
          <dgm:bulletEnabled val="1"/>
        </dgm:presLayoutVars>
      </dgm:prSet>
      <dgm:spPr/>
      <dgm:t>
        <a:bodyPr/>
        <a:lstStyle/>
        <a:p>
          <a:endParaRPr lang="hr-HR"/>
        </a:p>
      </dgm:t>
    </dgm:pt>
    <dgm:pt modelId="{D553730A-BD73-4F59-9D47-561B3DC9D7E2}" type="pres">
      <dgm:prSet presAssocID="{E32988F1-594D-42CC-B3FC-087A706E4E42}" presName="pillarX" presStyleLbl="node1" presStyleIdx="8" presStyleCnt="17" custAng="0" custScaleX="54920">
        <dgm:presLayoutVars>
          <dgm:bulletEnabled val="1"/>
        </dgm:presLayoutVars>
      </dgm:prSet>
      <dgm:spPr/>
      <dgm:t>
        <a:bodyPr/>
        <a:lstStyle/>
        <a:p>
          <a:endParaRPr lang="hr-HR"/>
        </a:p>
      </dgm:t>
    </dgm:pt>
    <dgm:pt modelId="{FD0F0D3A-80AE-43DA-8BBC-25339270876E}" type="pres">
      <dgm:prSet presAssocID="{3A702464-F9E6-4E97-9579-CF6308A523D0}" presName="pillarX" presStyleLbl="node1" presStyleIdx="9" presStyleCnt="17" custScaleX="36703">
        <dgm:presLayoutVars>
          <dgm:bulletEnabled val="1"/>
        </dgm:presLayoutVars>
      </dgm:prSet>
      <dgm:spPr/>
      <dgm:t>
        <a:bodyPr/>
        <a:lstStyle/>
        <a:p>
          <a:endParaRPr lang="hr-HR"/>
        </a:p>
      </dgm:t>
    </dgm:pt>
    <dgm:pt modelId="{F05D3C05-5D36-4070-8EC0-EBC01EEE2505}" type="pres">
      <dgm:prSet presAssocID="{46C55480-D478-4CD8-8B4F-5DBF0FD92D99}" presName="pillarX" presStyleLbl="node1" presStyleIdx="10" presStyleCnt="17" custAng="0" custScaleX="54920">
        <dgm:presLayoutVars>
          <dgm:bulletEnabled val="1"/>
        </dgm:presLayoutVars>
      </dgm:prSet>
      <dgm:spPr/>
      <dgm:t>
        <a:bodyPr/>
        <a:lstStyle/>
        <a:p>
          <a:endParaRPr lang="hr-HR"/>
        </a:p>
      </dgm:t>
    </dgm:pt>
    <dgm:pt modelId="{25602ED6-17CC-4F05-8B8E-41CEB8E0493C}" type="pres">
      <dgm:prSet presAssocID="{DC29D068-865F-46AC-BCED-B877E95008EB}" presName="pillarX" presStyleLbl="node1" presStyleIdx="11" presStyleCnt="17" custScaleX="55465">
        <dgm:presLayoutVars>
          <dgm:bulletEnabled val="1"/>
        </dgm:presLayoutVars>
      </dgm:prSet>
      <dgm:spPr/>
      <dgm:t>
        <a:bodyPr/>
        <a:lstStyle/>
        <a:p>
          <a:endParaRPr lang="hr-HR"/>
        </a:p>
      </dgm:t>
    </dgm:pt>
    <dgm:pt modelId="{3B4CC9BA-6633-496B-8908-5024F9394B41}" type="pres">
      <dgm:prSet presAssocID="{73D3D024-E3E5-403B-AAE2-54040B866117}" presName="pillarX" presStyleLbl="node1" presStyleIdx="12" presStyleCnt="17" custScaleX="52590">
        <dgm:presLayoutVars>
          <dgm:bulletEnabled val="1"/>
        </dgm:presLayoutVars>
      </dgm:prSet>
      <dgm:spPr/>
      <dgm:t>
        <a:bodyPr/>
        <a:lstStyle/>
        <a:p>
          <a:endParaRPr lang="hr-HR"/>
        </a:p>
      </dgm:t>
    </dgm:pt>
    <dgm:pt modelId="{1E7BE69E-3B4A-45BC-91DE-6E3F7B431B56}" type="pres">
      <dgm:prSet presAssocID="{07854A49-A585-46CA-873A-77A710BE9F9F}" presName="pillarX" presStyleLbl="node1" presStyleIdx="13" presStyleCnt="17" custScaleX="46029">
        <dgm:presLayoutVars>
          <dgm:bulletEnabled val="1"/>
        </dgm:presLayoutVars>
      </dgm:prSet>
      <dgm:spPr/>
      <dgm:t>
        <a:bodyPr/>
        <a:lstStyle/>
        <a:p>
          <a:endParaRPr lang="hr-HR"/>
        </a:p>
      </dgm:t>
    </dgm:pt>
    <dgm:pt modelId="{5FAA3A9E-3EAF-4025-92A8-5AC4D70CF81B}" type="pres">
      <dgm:prSet presAssocID="{F6AAC8F0-321A-4E4D-B37E-3FA11EF1EF28}" presName="pillarX" presStyleLbl="node1" presStyleIdx="14" presStyleCnt="17" custScaleX="54633">
        <dgm:presLayoutVars>
          <dgm:bulletEnabled val="1"/>
        </dgm:presLayoutVars>
      </dgm:prSet>
      <dgm:spPr/>
      <dgm:t>
        <a:bodyPr/>
        <a:lstStyle/>
        <a:p>
          <a:endParaRPr lang="hr-HR"/>
        </a:p>
      </dgm:t>
    </dgm:pt>
    <dgm:pt modelId="{719C6CEB-1A8C-4388-A5AA-9DDED7A858E4}" type="pres">
      <dgm:prSet presAssocID="{0B26381B-D56B-406B-8864-CDA74DE56763}" presName="pillarX" presStyleLbl="node1" presStyleIdx="15" presStyleCnt="17" custScaleX="56388">
        <dgm:presLayoutVars>
          <dgm:bulletEnabled val="1"/>
        </dgm:presLayoutVars>
      </dgm:prSet>
      <dgm:spPr/>
      <dgm:t>
        <a:bodyPr/>
        <a:lstStyle/>
        <a:p>
          <a:endParaRPr lang="hr-HR"/>
        </a:p>
      </dgm:t>
    </dgm:pt>
    <dgm:pt modelId="{3BA4FD3E-F656-43B4-8ADE-826656B52104}" type="pres">
      <dgm:prSet presAssocID="{2E56105E-EE8B-4315-857D-C4541D07242A}" presName="pillarX" presStyleLbl="node1" presStyleIdx="16" presStyleCnt="17" custScaleX="54687">
        <dgm:presLayoutVars>
          <dgm:bulletEnabled val="1"/>
        </dgm:presLayoutVars>
      </dgm:prSet>
      <dgm:spPr/>
      <dgm:t>
        <a:bodyPr/>
        <a:lstStyle/>
        <a:p>
          <a:endParaRPr lang="hr-HR"/>
        </a:p>
      </dgm:t>
    </dgm:pt>
    <dgm:pt modelId="{2960E43C-BE01-4143-BFA3-5FC0687DB834}" type="pres">
      <dgm:prSet presAssocID="{CF1FF59F-E14F-4637-A34D-7665CD9EE582}" presName="base" presStyleLbl="dkBgShp" presStyleIdx="1" presStyleCnt="2"/>
      <dgm:spPr/>
    </dgm:pt>
  </dgm:ptLst>
  <dgm:cxnLst>
    <dgm:cxn modelId="{381B179B-8014-4D10-AE68-A61F12774675}" type="presOf" srcId="{6FD12B5C-EFFF-4F13-ABD3-DD3C8D8DFB93}" destId="{B4D4F469-8343-4F9B-8F25-5AA8EDA0AA6B}" srcOrd="0" destOrd="0" presId="urn:microsoft.com/office/officeart/2005/8/layout/hList3"/>
    <dgm:cxn modelId="{8EF50B47-637D-4DED-9492-F3D66B4EE00B}" srcId="{CF1FF59F-E14F-4637-A34D-7665CD9EE582}" destId="{F3F5D835-9807-4E1F-859A-8A1952A87165}" srcOrd="2" destOrd="0" parTransId="{72D0009E-E1BF-4211-8104-336759CAD06D}" sibTransId="{4DCE8EB9-889C-4B4C-BC17-84DFA2ABCFCF}"/>
    <dgm:cxn modelId="{B5B48B63-B017-4417-98F6-C3D3FB08BA73}" srcId="{CF1FF59F-E14F-4637-A34D-7665CD9EE582}" destId="{CF6EF85F-E681-4637-87AE-7DF22C693BBF}" srcOrd="5" destOrd="0" parTransId="{3698FD13-599B-48D5-A9E8-269B2FAC4917}" sibTransId="{482C57DF-3A63-440F-8981-31F59476DC2B}"/>
    <dgm:cxn modelId="{50C40ED4-8554-4989-979C-492171A006AD}" srcId="{CF1FF59F-E14F-4637-A34D-7665CD9EE582}" destId="{4A16067D-A79A-48C9-9015-40D086025701}" srcOrd="3" destOrd="0" parTransId="{C594983D-A29F-4B41-A3F0-8A989C1BE493}" sibTransId="{E8178E56-FB38-4FAB-9563-4DBA9E6BACF7}"/>
    <dgm:cxn modelId="{C09755F3-0CDF-4999-81C7-215F08400F64}" type="presOf" srcId="{E7563131-A381-450E-8B07-D0A38DADECFF}" destId="{6BC06A2F-8EE0-4808-B59C-FB1700192732}" srcOrd="0" destOrd="0" presId="urn:microsoft.com/office/officeart/2005/8/layout/hList3"/>
    <dgm:cxn modelId="{36428229-E5C0-4664-95DB-C38C86339A89}" type="presOf" srcId="{F3F5D835-9807-4E1F-859A-8A1952A87165}" destId="{9F95E25A-1490-4DBA-BE00-27E2657A4D19}" srcOrd="0" destOrd="0" presId="urn:microsoft.com/office/officeart/2005/8/layout/hList3"/>
    <dgm:cxn modelId="{B65338DD-BF1C-4B4C-AC8D-5D525A6CAA22}" type="presOf" srcId="{2E56105E-EE8B-4315-857D-C4541D07242A}" destId="{3BA4FD3E-F656-43B4-8ADE-826656B52104}" srcOrd="0" destOrd="0" presId="urn:microsoft.com/office/officeart/2005/8/layout/hList3"/>
    <dgm:cxn modelId="{246132AF-9500-42E5-9238-47152722DC07}" srcId="{CF1FF59F-E14F-4637-A34D-7665CD9EE582}" destId="{DC29D068-865F-46AC-BCED-B877E95008EB}" srcOrd="11" destOrd="0" parTransId="{D4696CA4-0AF2-4FBB-BAD5-02AC1019E791}" sibTransId="{823C0D1C-E04C-4BB6-82A5-5751BE165FBA}"/>
    <dgm:cxn modelId="{E172998D-3DC9-4820-8999-DBC3D4698D1C}" type="presOf" srcId="{07854A49-A585-46CA-873A-77A710BE9F9F}" destId="{1E7BE69E-3B4A-45BC-91DE-6E3F7B431B56}" srcOrd="0" destOrd="0" presId="urn:microsoft.com/office/officeart/2005/8/layout/hList3"/>
    <dgm:cxn modelId="{F8265C62-D0D7-45EF-AF65-DD82A9609F44}" type="presOf" srcId="{A0ECF898-F6CD-4D51-9B4B-28087901A03B}" destId="{642C41D7-B59D-4B0C-BEE3-07349530B734}" srcOrd="0" destOrd="0" presId="urn:microsoft.com/office/officeart/2005/8/layout/hList3"/>
    <dgm:cxn modelId="{5B31124B-F9AD-408A-89CA-5FC17EDA3AEE}" type="presOf" srcId="{ED27AA12-FBB8-45AE-BDE0-056BDE1121C3}" destId="{B375DD73-9B75-462B-903F-673008AEB5DC}" srcOrd="0" destOrd="0" presId="urn:microsoft.com/office/officeart/2005/8/layout/hList3"/>
    <dgm:cxn modelId="{EC39BF24-AE09-463D-AF45-8E8925A25E40}" srcId="{CF1FF59F-E14F-4637-A34D-7665CD9EE582}" destId="{0B26381B-D56B-406B-8864-CDA74DE56763}" srcOrd="15" destOrd="0" parTransId="{19505F8B-BFCC-42F7-AC9D-102BE9B76176}" sibTransId="{2F78AAD8-FAB3-4F22-85FB-A50582A747B9}"/>
    <dgm:cxn modelId="{2BD5A82A-8231-4A59-A29B-2A8F7C25B91E}" srcId="{CF1FF59F-E14F-4637-A34D-7665CD9EE582}" destId="{73D3D024-E3E5-403B-AAE2-54040B866117}" srcOrd="12" destOrd="0" parTransId="{C7A206EF-D170-41BE-843C-F20B052DF7FD}" sibTransId="{EE02A2B9-2CFF-47AE-A3CD-42091957A8FA}"/>
    <dgm:cxn modelId="{E6AD2588-3858-48E3-8FD7-1A182B81769C}" type="presOf" srcId="{46C55480-D478-4CD8-8B4F-5DBF0FD92D99}" destId="{F05D3C05-5D36-4070-8EC0-EBC01EEE2505}" srcOrd="0" destOrd="0" presId="urn:microsoft.com/office/officeart/2005/8/layout/hList3"/>
    <dgm:cxn modelId="{7EC27D32-A899-427E-9FF2-F409DBF7003F}" type="presOf" srcId="{DC29D068-865F-46AC-BCED-B877E95008EB}" destId="{25602ED6-17CC-4F05-8B8E-41CEB8E0493C}" srcOrd="0" destOrd="0" presId="urn:microsoft.com/office/officeart/2005/8/layout/hList3"/>
    <dgm:cxn modelId="{761EDD90-7109-45F6-9AAC-C838F2CBDE0C}" type="presOf" srcId="{F6AAC8F0-321A-4E4D-B37E-3FA11EF1EF28}" destId="{5FAA3A9E-3EAF-4025-92A8-5AC4D70CF81B}" srcOrd="0" destOrd="0" presId="urn:microsoft.com/office/officeart/2005/8/layout/hList3"/>
    <dgm:cxn modelId="{0EDB04AD-D8AE-4A7E-B724-77F7410534B3}" type="presOf" srcId="{E32988F1-594D-42CC-B3FC-087A706E4E42}" destId="{D553730A-BD73-4F59-9D47-561B3DC9D7E2}" srcOrd="0" destOrd="0" presId="urn:microsoft.com/office/officeart/2005/8/layout/hList3"/>
    <dgm:cxn modelId="{7A1A85E6-8EF2-4866-9BCD-CC669CC7DD5D}" type="presOf" srcId="{CF1FF59F-E14F-4637-A34D-7665CD9EE582}" destId="{351E325D-E049-4895-A7CD-7CD91B95996C}" srcOrd="0" destOrd="0" presId="urn:microsoft.com/office/officeart/2005/8/layout/hList3"/>
    <dgm:cxn modelId="{2DA22A28-32BD-46AB-B397-E7C2D4745714}" type="presOf" srcId="{CF6EF85F-E681-4637-87AE-7DF22C693BBF}" destId="{023662B6-48E2-4B90-B6FC-06AA0BDABCBA}" srcOrd="0" destOrd="0" presId="urn:microsoft.com/office/officeart/2005/8/layout/hList3"/>
    <dgm:cxn modelId="{B7B05F51-9C06-498E-9EC8-C715C82F2B81}" srcId="{CF1FF59F-E14F-4637-A34D-7665CD9EE582}" destId="{3A702464-F9E6-4E97-9579-CF6308A523D0}" srcOrd="9" destOrd="0" parTransId="{D4C0D744-940C-43DC-B124-3FD773CF8E0D}" sibTransId="{1D03B5D8-42E5-471D-A18C-6AA76BCF8171}"/>
    <dgm:cxn modelId="{A85A9443-717D-4783-AEE9-8FFC1E87C4FD}" type="presOf" srcId="{3A702464-F9E6-4E97-9579-CF6308A523D0}" destId="{FD0F0D3A-80AE-43DA-8BBC-25339270876E}" srcOrd="0" destOrd="0" presId="urn:microsoft.com/office/officeart/2005/8/layout/hList3"/>
    <dgm:cxn modelId="{F24C68C3-4D2C-491F-9AC5-7F007DD8CB33}" srcId="{CF1FF59F-E14F-4637-A34D-7665CD9EE582}" destId="{46C55480-D478-4CD8-8B4F-5DBF0FD92D99}" srcOrd="10" destOrd="0" parTransId="{385A4ED4-6437-48B9-B292-C45334835A61}" sibTransId="{46CF23A5-004F-47FE-8D37-A3D594820356}"/>
    <dgm:cxn modelId="{0E2B8F81-C966-46B2-BA96-0C5801E0AA26}" srcId="{4CEE01C3-E051-4734-9B5E-0B53DA9C0C22}" destId="{CF1FF59F-E14F-4637-A34D-7665CD9EE582}" srcOrd="0" destOrd="0" parTransId="{329ED0DB-3EE8-46B0-B100-0D78B9789953}" sibTransId="{F9906221-A396-4F88-81A6-07706CE44FD0}"/>
    <dgm:cxn modelId="{8211DE5E-962C-46CF-B201-B5E1EC876678}" type="presOf" srcId="{4CEE01C3-E051-4734-9B5E-0B53DA9C0C22}" destId="{0776A071-89DE-4371-9CB6-9CB59FB6811B}" srcOrd="0" destOrd="0" presId="urn:microsoft.com/office/officeart/2005/8/layout/hList3"/>
    <dgm:cxn modelId="{E87A3543-75AC-452A-BB2C-38AD0877F093}" srcId="{CF1FF59F-E14F-4637-A34D-7665CD9EE582}" destId="{9D640440-2F83-4492-975F-268DFF72EB5A}" srcOrd="7" destOrd="0" parTransId="{5F59B2F4-FEEF-4C69-81C6-01B0C81E1A35}" sibTransId="{8CAA6B99-7ADA-49F4-86BE-6337BF408419}"/>
    <dgm:cxn modelId="{2056B298-69FF-42ED-A3F0-8E7414C285AF}" type="presOf" srcId="{9D640440-2F83-4492-975F-268DFF72EB5A}" destId="{F2327E8C-4771-4B56-B83F-35345EAF31FB}" srcOrd="0" destOrd="0" presId="urn:microsoft.com/office/officeart/2005/8/layout/hList3"/>
    <dgm:cxn modelId="{5EC2A276-0A4D-46FC-916C-945CCE1D91AB}" type="presOf" srcId="{4A16067D-A79A-48C9-9015-40D086025701}" destId="{14C5D9A1-891A-45BA-A6E0-57481CE6B061}" srcOrd="0" destOrd="0" presId="urn:microsoft.com/office/officeart/2005/8/layout/hList3"/>
    <dgm:cxn modelId="{3A770A16-4F7F-47FA-B377-B7BFD5021DAC}" srcId="{CF1FF59F-E14F-4637-A34D-7665CD9EE582}" destId="{F6AAC8F0-321A-4E4D-B37E-3FA11EF1EF28}" srcOrd="14" destOrd="0" parTransId="{22010013-2F4C-414D-BBAC-651C087B7D85}" sibTransId="{36EC74D9-C211-4BB0-A516-A353FE104CC3}"/>
    <dgm:cxn modelId="{88D5BE2C-FC86-4861-96E2-6418C68860EB}" type="presOf" srcId="{0B26381B-D56B-406B-8864-CDA74DE56763}" destId="{719C6CEB-1A8C-4388-A5AA-9DDED7A858E4}" srcOrd="0" destOrd="0" presId="urn:microsoft.com/office/officeart/2005/8/layout/hList3"/>
    <dgm:cxn modelId="{1359247C-15D4-47F7-9D7F-CCAA81B69E35}" srcId="{CF1FF59F-E14F-4637-A34D-7665CD9EE582}" destId="{6FD12B5C-EFFF-4F13-ABD3-DD3C8D8DFB93}" srcOrd="0" destOrd="0" parTransId="{35601348-BE1E-4D30-8987-7A085A36D8CF}" sibTransId="{ABD2F107-799D-47B7-838A-03B0D13EAA5B}"/>
    <dgm:cxn modelId="{D6689F18-6296-4E17-9840-80A576CAC418}" srcId="{CF1FF59F-E14F-4637-A34D-7665CD9EE582}" destId="{ED27AA12-FBB8-45AE-BDE0-056BDE1121C3}" srcOrd="1" destOrd="0" parTransId="{EEC3C429-25D7-4AEB-B070-4319557904EE}" sibTransId="{6CAC2BDC-F052-4EE5-A27A-9F5F4F1FDEBF}"/>
    <dgm:cxn modelId="{A144D991-D024-47E1-A52F-67B31EE2D7FE}" srcId="{CF1FF59F-E14F-4637-A34D-7665CD9EE582}" destId="{E32988F1-594D-42CC-B3FC-087A706E4E42}" srcOrd="8" destOrd="0" parTransId="{02BEE50C-9022-43EC-B966-6D0B91DA203F}" sibTransId="{0712932A-F2A3-4D3A-BA81-4964765CCAD6}"/>
    <dgm:cxn modelId="{BAA197BE-430C-44AD-86A6-A5AAB148F284}" srcId="{CF1FF59F-E14F-4637-A34D-7665CD9EE582}" destId="{E7563131-A381-450E-8B07-D0A38DADECFF}" srcOrd="4" destOrd="0" parTransId="{A984DEE6-B95A-42D0-ADF5-1C3F0CC68B27}" sibTransId="{DB54BEB3-534A-4509-9163-EC7CF9C72A02}"/>
    <dgm:cxn modelId="{08401C31-9320-44D3-9AE2-4E99BB48A3FD}" type="presOf" srcId="{73D3D024-E3E5-403B-AAE2-54040B866117}" destId="{3B4CC9BA-6633-496B-8908-5024F9394B41}" srcOrd="0" destOrd="0" presId="urn:microsoft.com/office/officeart/2005/8/layout/hList3"/>
    <dgm:cxn modelId="{7DA7FE8C-B052-4FC5-8E5B-C2B8340AFD51}" srcId="{CF1FF59F-E14F-4637-A34D-7665CD9EE582}" destId="{07854A49-A585-46CA-873A-77A710BE9F9F}" srcOrd="13" destOrd="0" parTransId="{6D88A1B1-482C-42EA-A140-CC2F01B649C0}" sibTransId="{45DECB4D-ADA1-4660-9790-963DA05BA7EF}"/>
    <dgm:cxn modelId="{AA067281-920B-4FB4-9F2B-9AFAC0CC1FCE}" srcId="{CF1FF59F-E14F-4637-A34D-7665CD9EE582}" destId="{2E56105E-EE8B-4315-857D-C4541D07242A}" srcOrd="16" destOrd="0" parTransId="{EF8D740C-5572-4C3B-977F-E9CF5B46805F}" sibTransId="{EA8ED919-A724-4F6B-B3F2-ED1A5C59F2D5}"/>
    <dgm:cxn modelId="{92E91C41-6DAF-4382-9D75-8F91ABDC3062}" srcId="{CF1FF59F-E14F-4637-A34D-7665CD9EE582}" destId="{A0ECF898-F6CD-4D51-9B4B-28087901A03B}" srcOrd="6" destOrd="0" parTransId="{312D0CF6-2E4D-4B05-A25A-00FB7A74D1CB}" sibTransId="{BF1FDB7F-7421-4946-9493-D5FF3E17176C}"/>
    <dgm:cxn modelId="{7A6C1170-CF68-4559-BE9D-3CD4509F4ED5}" type="presParOf" srcId="{0776A071-89DE-4371-9CB6-9CB59FB6811B}" destId="{351E325D-E049-4895-A7CD-7CD91B95996C}" srcOrd="0" destOrd="0" presId="urn:microsoft.com/office/officeart/2005/8/layout/hList3"/>
    <dgm:cxn modelId="{61A823B3-4EEF-4C9D-95C9-288B07AB6915}" type="presParOf" srcId="{0776A071-89DE-4371-9CB6-9CB59FB6811B}" destId="{19D94DD5-17AC-48DD-8B97-4E5263D22FE8}" srcOrd="1" destOrd="0" presId="urn:microsoft.com/office/officeart/2005/8/layout/hList3"/>
    <dgm:cxn modelId="{44CF4F79-53B5-4AD4-B0FC-0D2AC87C1CC0}" type="presParOf" srcId="{19D94DD5-17AC-48DD-8B97-4E5263D22FE8}" destId="{B4D4F469-8343-4F9B-8F25-5AA8EDA0AA6B}" srcOrd="0" destOrd="0" presId="urn:microsoft.com/office/officeart/2005/8/layout/hList3"/>
    <dgm:cxn modelId="{AC8DB08F-D46F-4353-A7A0-1ED5A285223A}" type="presParOf" srcId="{19D94DD5-17AC-48DD-8B97-4E5263D22FE8}" destId="{B375DD73-9B75-462B-903F-673008AEB5DC}" srcOrd="1" destOrd="0" presId="urn:microsoft.com/office/officeart/2005/8/layout/hList3"/>
    <dgm:cxn modelId="{3C374365-CC4E-49BE-9FA3-1A051820647F}" type="presParOf" srcId="{19D94DD5-17AC-48DD-8B97-4E5263D22FE8}" destId="{9F95E25A-1490-4DBA-BE00-27E2657A4D19}" srcOrd="2" destOrd="0" presId="urn:microsoft.com/office/officeart/2005/8/layout/hList3"/>
    <dgm:cxn modelId="{1205D925-043D-4129-BF45-093962198038}" type="presParOf" srcId="{19D94DD5-17AC-48DD-8B97-4E5263D22FE8}" destId="{14C5D9A1-891A-45BA-A6E0-57481CE6B061}" srcOrd="3" destOrd="0" presId="urn:microsoft.com/office/officeart/2005/8/layout/hList3"/>
    <dgm:cxn modelId="{5E1D26A7-8564-4F73-9DA5-6FF64369C0E1}" type="presParOf" srcId="{19D94DD5-17AC-48DD-8B97-4E5263D22FE8}" destId="{6BC06A2F-8EE0-4808-B59C-FB1700192732}" srcOrd="4" destOrd="0" presId="urn:microsoft.com/office/officeart/2005/8/layout/hList3"/>
    <dgm:cxn modelId="{1B67AEBB-FDE9-4586-B8F5-53CB615AA66F}" type="presParOf" srcId="{19D94DD5-17AC-48DD-8B97-4E5263D22FE8}" destId="{023662B6-48E2-4B90-B6FC-06AA0BDABCBA}" srcOrd="5" destOrd="0" presId="urn:microsoft.com/office/officeart/2005/8/layout/hList3"/>
    <dgm:cxn modelId="{52B55FD9-FBEC-495B-B95B-B9CF0C49BB49}" type="presParOf" srcId="{19D94DD5-17AC-48DD-8B97-4E5263D22FE8}" destId="{642C41D7-B59D-4B0C-BEE3-07349530B734}" srcOrd="6" destOrd="0" presId="urn:microsoft.com/office/officeart/2005/8/layout/hList3"/>
    <dgm:cxn modelId="{48B18CE8-2587-43A9-8C64-3C55E48E547A}" type="presParOf" srcId="{19D94DD5-17AC-48DD-8B97-4E5263D22FE8}" destId="{F2327E8C-4771-4B56-B83F-35345EAF31FB}" srcOrd="7" destOrd="0" presId="urn:microsoft.com/office/officeart/2005/8/layout/hList3"/>
    <dgm:cxn modelId="{F54F7DDA-096D-4A05-A1A3-422AAB92F91A}" type="presParOf" srcId="{19D94DD5-17AC-48DD-8B97-4E5263D22FE8}" destId="{D553730A-BD73-4F59-9D47-561B3DC9D7E2}" srcOrd="8" destOrd="0" presId="urn:microsoft.com/office/officeart/2005/8/layout/hList3"/>
    <dgm:cxn modelId="{65967B36-C605-4811-B308-C6356D17A893}" type="presParOf" srcId="{19D94DD5-17AC-48DD-8B97-4E5263D22FE8}" destId="{FD0F0D3A-80AE-43DA-8BBC-25339270876E}" srcOrd="9" destOrd="0" presId="urn:microsoft.com/office/officeart/2005/8/layout/hList3"/>
    <dgm:cxn modelId="{C23CEDFC-4A21-43A8-A667-151F6B19FB8B}" type="presParOf" srcId="{19D94DD5-17AC-48DD-8B97-4E5263D22FE8}" destId="{F05D3C05-5D36-4070-8EC0-EBC01EEE2505}" srcOrd="10" destOrd="0" presId="urn:microsoft.com/office/officeart/2005/8/layout/hList3"/>
    <dgm:cxn modelId="{0CE70DAD-97B5-4E2F-BFD6-004DA582A5E6}" type="presParOf" srcId="{19D94DD5-17AC-48DD-8B97-4E5263D22FE8}" destId="{25602ED6-17CC-4F05-8B8E-41CEB8E0493C}" srcOrd="11" destOrd="0" presId="urn:microsoft.com/office/officeart/2005/8/layout/hList3"/>
    <dgm:cxn modelId="{C2C6DC5D-B005-4700-92AA-A6BE9CC11BCD}" type="presParOf" srcId="{19D94DD5-17AC-48DD-8B97-4E5263D22FE8}" destId="{3B4CC9BA-6633-496B-8908-5024F9394B41}" srcOrd="12" destOrd="0" presId="urn:microsoft.com/office/officeart/2005/8/layout/hList3"/>
    <dgm:cxn modelId="{0FDC6B38-1808-4A2B-825B-850EAA03CB9C}" type="presParOf" srcId="{19D94DD5-17AC-48DD-8B97-4E5263D22FE8}" destId="{1E7BE69E-3B4A-45BC-91DE-6E3F7B431B56}" srcOrd="13" destOrd="0" presId="urn:microsoft.com/office/officeart/2005/8/layout/hList3"/>
    <dgm:cxn modelId="{4027D980-46E6-4A2E-8ADE-145C36B55511}" type="presParOf" srcId="{19D94DD5-17AC-48DD-8B97-4E5263D22FE8}" destId="{5FAA3A9E-3EAF-4025-92A8-5AC4D70CF81B}" srcOrd="14" destOrd="0" presId="urn:microsoft.com/office/officeart/2005/8/layout/hList3"/>
    <dgm:cxn modelId="{B70BD195-ED7A-4BDF-B08B-27C48DD45E54}" type="presParOf" srcId="{19D94DD5-17AC-48DD-8B97-4E5263D22FE8}" destId="{719C6CEB-1A8C-4388-A5AA-9DDED7A858E4}" srcOrd="15" destOrd="0" presId="urn:microsoft.com/office/officeart/2005/8/layout/hList3"/>
    <dgm:cxn modelId="{F2A2DAF9-B863-4CDE-A1BF-F4B8535004F7}" type="presParOf" srcId="{19D94DD5-17AC-48DD-8B97-4E5263D22FE8}" destId="{3BA4FD3E-F656-43B4-8ADE-826656B52104}" srcOrd="16" destOrd="0" presId="urn:microsoft.com/office/officeart/2005/8/layout/hList3"/>
    <dgm:cxn modelId="{4C66D5C8-7F5D-445F-96EF-9848B50BC27C}" type="presParOf" srcId="{0776A071-89DE-4371-9CB6-9CB59FB6811B}" destId="{2960E43C-BE01-4143-BFA3-5FC0687DB834}" srcOrd="2" destOrd="0" presId="urn:microsoft.com/office/officeart/2005/8/layout/h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1E325D-E049-4895-A7CD-7CD91B95996C}">
      <dsp:nvSpPr>
        <dsp:cNvPr id="0" name=""/>
        <dsp:cNvSpPr/>
      </dsp:nvSpPr>
      <dsp:spPr>
        <a:xfrm>
          <a:off x="0" y="179417"/>
          <a:ext cx="9182100" cy="1076277"/>
        </a:xfrm>
        <a:prstGeom prst="rect">
          <a:avLst/>
        </a:prstGeom>
        <a:solidFill>
          <a:schemeClr val="accent2">
            <a:shade val="9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hr-HR" sz="3200" i="1" kern="1200"/>
            <a:t>Definirani programi:</a:t>
          </a:r>
        </a:p>
      </dsp:txBody>
      <dsp:txXfrm>
        <a:off x="0" y="179417"/>
        <a:ext cx="9182100" cy="1076277"/>
      </dsp:txXfrm>
    </dsp:sp>
    <dsp:sp modelId="{B4D4F469-8343-4F9B-8F25-5AA8EDA0AA6B}">
      <dsp:nvSpPr>
        <dsp:cNvPr id="0" name=""/>
        <dsp:cNvSpPr/>
      </dsp:nvSpPr>
      <dsp:spPr>
        <a:xfrm>
          <a:off x="0" y="1377064"/>
          <a:ext cx="638438" cy="3102387"/>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P1001</a:t>
          </a:r>
        </a:p>
        <a:p>
          <a:pPr lvl="0" algn="ctr" defTabSz="533400">
            <a:lnSpc>
              <a:spcPct val="90000"/>
            </a:lnSpc>
            <a:spcBef>
              <a:spcPct val="0"/>
            </a:spcBef>
            <a:spcAft>
              <a:spcPct val="35000"/>
            </a:spcAft>
          </a:pPr>
          <a:r>
            <a:rPr lang="hr-HR" sz="1200" kern="1200"/>
            <a:t>Mjere i aktivnosti za osiguranje rada iz djelokruga izvršne vlasti</a:t>
          </a:r>
        </a:p>
      </dsp:txBody>
      <dsp:txXfrm>
        <a:off x="0" y="1377064"/>
        <a:ext cx="638438" cy="3102387"/>
      </dsp:txXfrm>
    </dsp:sp>
    <dsp:sp modelId="{B375DD73-9B75-462B-903F-673008AEB5DC}">
      <dsp:nvSpPr>
        <dsp:cNvPr id="0" name=""/>
        <dsp:cNvSpPr/>
      </dsp:nvSpPr>
      <dsp:spPr>
        <a:xfrm>
          <a:off x="641770" y="1377064"/>
          <a:ext cx="605085" cy="310238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 1002</a:t>
          </a:r>
        </a:p>
        <a:p>
          <a:pPr lvl="0" algn="ctr" defTabSz="533400">
            <a:lnSpc>
              <a:spcPct val="90000"/>
            </a:lnSpc>
            <a:spcBef>
              <a:spcPct val="0"/>
            </a:spcBef>
            <a:spcAft>
              <a:spcPct val="35000"/>
            </a:spcAft>
          </a:pPr>
          <a:r>
            <a:rPr lang="hr-HR" sz="1200" kern="1200"/>
            <a:t> Mjere i aktivnosti za osiguranje rada iz djelokruga predstavničke vlasti</a:t>
          </a:r>
        </a:p>
      </dsp:txBody>
      <dsp:txXfrm>
        <a:off x="641770" y="1377064"/>
        <a:ext cx="605085" cy="3102387"/>
      </dsp:txXfrm>
    </dsp:sp>
    <dsp:sp modelId="{9F95E25A-1490-4DBA-BE00-27E2657A4D19}">
      <dsp:nvSpPr>
        <dsp:cNvPr id="0" name=""/>
        <dsp:cNvSpPr/>
      </dsp:nvSpPr>
      <dsp:spPr>
        <a:xfrm>
          <a:off x="1285901" y="1377064"/>
          <a:ext cx="498098" cy="310238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P2001</a:t>
          </a:r>
        </a:p>
        <a:p>
          <a:pPr lvl="0" algn="ctr" defTabSz="533400">
            <a:lnSpc>
              <a:spcPct val="90000"/>
            </a:lnSpc>
            <a:spcBef>
              <a:spcPct val="0"/>
            </a:spcBef>
            <a:spcAft>
              <a:spcPct val="35000"/>
            </a:spcAft>
          </a:pPr>
          <a:r>
            <a:rPr lang="hr-HR" sz="1200" kern="1200"/>
            <a:t>Mjere i aktivnosti za osiguranje rada iz djelokruga jedinstvenog upravnog odjela</a:t>
          </a:r>
          <a:endParaRPr lang="hr-HR" sz="1200" kern="1200">
            <a:solidFill>
              <a:srgbClr val="FF0000"/>
            </a:solidFill>
          </a:endParaRPr>
        </a:p>
      </dsp:txBody>
      <dsp:txXfrm>
        <a:off x="1285901" y="1377064"/>
        <a:ext cx="498098" cy="3102387"/>
      </dsp:txXfrm>
    </dsp:sp>
    <dsp:sp modelId="{14C5D9A1-891A-45BA-A6E0-57481CE6B061}">
      <dsp:nvSpPr>
        <dsp:cNvPr id="0" name=""/>
        <dsp:cNvSpPr/>
      </dsp:nvSpPr>
      <dsp:spPr>
        <a:xfrm>
          <a:off x="1744953" y="1377064"/>
          <a:ext cx="402754" cy="310238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P2002</a:t>
          </a:r>
        </a:p>
        <a:p>
          <a:pPr lvl="0" algn="ctr" defTabSz="533400">
            <a:lnSpc>
              <a:spcPct val="90000"/>
            </a:lnSpc>
            <a:spcBef>
              <a:spcPct val="0"/>
            </a:spcBef>
            <a:spcAft>
              <a:spcPct val="35000"/>
            </a:spcAft>
          </a:pPr>
          <a:r>
            <a:rPr lang="hr-HR" sz="1200" kern="1200"/>
            <a:t>Prostorno planska dokumentacija</a:t>
          </a:r>
        </a:p>
      </dsp:txBody>
      <dsp:txXfrm>
        <a:off x="1744953" y="1377064"/>
        <a:ext cx="402754" cy="3102387"/>
      </dsp:txXfrm>
    </dsp:sp>
    <dsp:sp modelId="{6BC06A2F-8EE0-4808-B59C-FB1700192732}">
      <dsp:nvSpPr>
        <dsp:cNvPr id="0" name=""/>
        <dsp:cNvSpPr/>
      </dsp:nvSpPr>
      <dsp:spPr>
        <a:xfrm>
          <a:off x="2147707" y="1377064"/>
          <a:ext cx="569409" cy="310238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P2003</a:t>
          </a:r>
        </a:p>
        <a:p>
          <a:pPr lvl="0" algn="ctr" defTabSz="533400">
            <a:lnSpc>
              <a:spcPct val="90000"/>
            </a:lnSpc>
            <a:spcBef>
              <a:spcPct val="0"/>
            </a:spcBef>
            <a:spcAft>
              <a:spcPct val="35000"/>
            </a:spcAft>
          </a:pPr>
          <a:r>
            <a:rPr lang="hr-HR" sz="1200" kern="1200"/>
            <a:t>Upravljanje imovinom</a:t>
          </a:r>
        </a:p>
      </dsp:txBody>
      <dsp:txXfrm>
        <a:off x="2147707" y="1377064"/>
        <a:ext cx="569409" cy="3102387"/>
      </dsp:txXfrm>
    </dsp:sp>
    <dsp:sp modelId="{023662B6-48E2-4B90-B6FC-06AA0BDABCBA}">
      <dsp:nvSpPr>
        <dsp:cNvPr id="0" name=""/>
        <dsp:cNvSpPr/>
      </dsp:nvSpPr>
      <dsp:spPr>
        <a:xfrm>
          <a:off x="2717116" y="1377064"/>
          <a:ext cx="569409" cy="3102387"/>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P2004</a:t>
          </a:r>
        </a:p>
        <a:p>
          <a:pPr lvl="0" algn="ctr" defTabSz="533400">
            <a:lnSpc>
              <a:spcPct val="90000"/>
            </a:lnSpc>
            <a:spcBef>
              <a:spcPct val="0"/>
            </a:spcBef>
            <a:spcAft>
              <a:spcPct val="35000"/>
            </a:spcAft>
          </a:pPr>
          <a:r>
            <a:rPr lang="hr-HR" sz="1200" kern="1200"/>
            <a:t>Vatrogastvo i civilna zaštita</a:t>
          </a:r>
        </a:p>
      </dsp:txBody>
      <dsp:txXfrm>
        <a:off x="2717116" y="1377064"/>
        <a:ext cx="569409" cy="3102387"/>
      </dsp:txXfrm>
    </dsp:sp>
    <dsp:sp modelId="{642C41D7-B59D-4B0C-BEE3-07349530B734}">
      <dsp:nvSpPr>
        <dsp:cNvPr id="0" name=""/>
        <dsp:cNvSpPr/>
      </dsp:nvSpPr>
      <dsp:spPr>
        <a:xfrm>
          <a:off x="3286525" y="1377064"/>
          <a:ext cx="487885" cy="310238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P2005</a:t>
          </a:r>
        </a:p>
        <a:p>
          <a:pPr lvl="0" algn="ctr" defTabSz="533400">
            <a:lnSpc>
              <a:spcPct val="90000"/>
            </a:lnSpc>
            <a:spcBef>
              <a:spcPct val="0"/>
            </a:spcBef>
            <a:spcAft>
              <a:spcPct val="35000"/>
            </a:spcAft>
          </a:pPr>
          <a:r>
            <a:rPr lang="hr-HR" sz="1200" kern="1200"/>
            <a:t>Poticaj razvoja poljoprivrede i poduzetništva</a:t>
          </a:r>
        </a:p>
      </dsp:txBody>
      <dsp:txXfrm>
        <a:off x="3286525" y="1377064"/>
        <a:ext cx="487885" cy="3102387"/>
      </dsp:txXfrm>
    </dsp:sp>
    <dsp:sp modelId="{F2327E8C-4771-4B56-B83F-35345EAF31FB}">
      <dsp:nvSpPr>
        <dsp:cNvPr id="0" name=""/>
        <dsp:cNvSpPr/>
      </dsp:nvSpPr>
      <dsp:spPr>
        <a:xfrm>
          <a:off x="3774411" y="1377064"/>
          <a:ext cx="569409" cy="310238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P2006</a:t>
          </a:r>
        </a:p>
        <a:p>
          <a:pPr lvl="0" algn="ctr" defTabSz="533400">
            <a:lnSpc>
              <a:spcPct val="90000"/>
            </a:lnSpc>
            <a:spcBef>
              <a:spcPct val="0"/>
            </a:spcBef>
            <a:spcAft>
              <a:spcPct val="35000"/>
            </a:spcAft>
          </a:pPr>
          <a:r>
            <a:rPr lang="hr-HR" sz="1200" kern="1200"/>
            <a:t>Održavanje objekata i uređaja komunalne infrastrukture</a:t>
          </a:r>
        </a:p>
      </dsp:txBody>
      <dsp:txXfrm>
        <a:off x="3774411" y="1377064"/>
        <a:ext cx="569409" cy="3102387"/>
      </dsp:txXfrm>
    </dsp:sp>
    <dsp:sp modelId="{D553730A-BD73-4F59-9D47-561B3DC9D7E2}">
      <dsp:nvSpPr>
        <dsp:cNvPr id="0" name=""/>
        <dsp:cNvSpPr/>
      </dsp:nvSpPr>
      <dsp:spPr>
        <a:xfrm>
          <a:off x="4343820" y="1377064"/>
          <a:ext cx="569409" cy="310238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P2007</a:t>
          </a:r>
        </a:p>
        <a:p>
          <a:pPr lvl="0" algn="ctr" defTabSz="533400">
            <a:lnSpc>
              <a:spcPct val="90000"/>
            </a:lnSpc>
            <a:spcBef>
              <a:spcPct val="0"/>
            </a:spcBef>
            <a:spcAft>
              <a:spcPct val="35000"/>
            </a:spcAft>
          </a:pPr>
          <a:r>
            <a:rPr lang="hr-HR" sz="1200" kern="1200"/>
            <a:t>Izgradnja objekata i uređaja komunalne infrastrukture</a:t>
          </a:r>
        </a:p>
      </dsp:txBody>
      <dsp:txXfrm>
        <a:off x="4343820" y="1377064"/>
        <a:ext cx="569409" cy="3102387"/>
      </dsp:txXfrm>
    </dsp:sp>
    <dsp:sp modelId="{FD0F0D3A-80AE-43DA-8BBC-25339270876E}">
      <dsp:nvSpPr>
        <dsp:cNvPr id="0" name=""/>
        <dsp:cNvSpPr/>
      </dsp:nvSpPr>
      <dsp:spPr>
        <a:xfrm>
          <a:off x="4913229" y="1377064"/>
          <a:ext cx="380535" cy="310238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P2008 Zaštita okoliša</a:t>
          </a:r>
        </a:p>
      </dsp:txBody>
      <dsp:txXfrm>
        <a:off x="4913229" y="1377064"/>
        <a:ext cx="380535" cy="3102387"/>
      </dsp:txXfrm>
    </dsp:sp>
    <dsp:sp modelId="{F05D3C05-5D36-4070-8EC0-EBC01EEE2505}">
      <dsp:nvSpPr>
        <dsp:cNvPr id="0" name=""/>
        <dsp:cNvSpPr/>
      </dsp:nvSpPr>
      <dsp:spPr>
        <a:xfrm>
          <a:off x="5293765" y="1377064"/>
          <a:ext cx="569409" cy="3102387"/>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P2009</a:t>
          </a:r>
        </a:p>
        <a:p>
          <a:pPr lvl="0" algn="ctr" defTabSz="533400">
            <a:lnSpc>
              <a:spcPct val="90000"/>
            </a:lnSpc>
            <a:spcBef>
              <a:spcPct val="0"/>
            </a:spcBef>
            <a:spcAft>
              <a:spcPct val="35000"/>
            </a:spcAft>
          </a:pPr>
          <a:r>
            <a:rPr lang="hr-HR" sz="1200" kern="1200"/>
            <a:t>Dodatne usluge u zdravstvu i preventiva</a:t>
          </a:r>
        </a:p>
      </dsp:txBody>
      <dsp:txXfrm>
        <a:off x="5293765" y="1377064"/>
        <a:ext cx="569409" cy="3102387"/>
      </dsp:txXfrm>
    </dsp:sp>
    <dsp:sp modelId="{25602ED6-17CC-4F05-8B8E-41CEB8E0493C}">
      <dsp:nvSpPr>
        <dsp:cNvPr id="0" name=""/>
        <dsp:cNvSpPr/>
      </dsp:nvSpPr>
      <dsp:spPr>
        <a:xfrm>
          <a:off x="5863174" y="1377064"/>
          <a:ext cx="575059" cy="310238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P2010                                                                                                      Socijalna skrb i novčana pomoć</a:t>
          </a:r>
        </a:p>
      </dsp:txBody>
      <dsp:txXfrm>
        <a:off x="5863174" y="1377064"/>
        <a:ext cx="575059" cy="3102387"/>
      </dsp:txXfrm>
    </dsp:sp>
    <dsp:sp modelId="{3B4CC9BA-6633-496B-8908-5024F9394B41}">
      <dsp:nvSpPr>
        <dsp:cNvPr id="0" name=""/>
        <dsp:cNvSpPr/>
      </dsp:nvSpPr>
      <dsp:spPr>
        <a:xfrm>
          <a:off x="6438233" y="1377064"/>
          <a:ext cx="545251" cy="3102387"/>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P2012                                                                           Javne potrebe u kulturi</a:t>
          </a:r>
        </a:p>
      </dsp:txBody>
      <dsp:txXfrm>
        <a:off x="6438233" y="1377064"/>
        <a:ext cx="545251" cy="3102387"/>
      </dsp:txXfrm>
    </dsp:sp>
    <dsp:sp modelId="{1E7BE69E-3B4A-45BC-91DE-6E3F7B431B56}">
      <dsp:nvSpPr>
        <dsp:cNvPr id="0" name=""/>
        <dsp:cNvSpPr/>
      </dsp:nvSpPr>
      <dsp:spPr>
        <a:xfrm>
          <a:off x="6983485" y="1377064"/>
          <a:ext cx="477227" cy="310238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P2013</a:t>
          </a:r>
        </a:p>
        <a:p>
          <a:pPr lvl="0" algn="ctr" defTabSz="533400">
            <a:lnSpc>
              <a:spcPct val="90000"/>
            </a:lnSpc>
            <a:spcBef>
              <a:spcPct val="0"/>
            </a:spcBef>
            <a:spcAft>
              <a:spcPct val="35000"/>
            </a:spcAft>
          </a:pPr>
          <a:r>
            <a:rPr lang="hr-HR" sz="1200" kern="1200"/>
            <a:t> Poticanje razvoja turizma</a:t>
          </a:r>
        </a:p>
      </dsp:txBody>
      <dsp:txXfrm>
        <a:off x="6983485" y="1377064"/>
        <a:ext cx="477227" cy="3102387"/>
      </dsp:txXfrm>
    </dsp:sp>
    <dsp:sp modelId="{5FAA3A9E-3EAF-4025-92A8-5AC4D70CF81B}">
      <dsp:nvSpPr>
        <dsp:cNvPr id="0" name=""/>
        <dsp:cNvSpPr/>
      </dsp:nvSpPr>
      <dsp:spPr>
        <a:xfrm>
          <a:off x="7460712" y="1377064"/>
          <a:ext cx="566433" cy="310238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P2015                                                                Predškolski odgoj i obrazovanje</a:t>
          </a:r>
        </a:p>
      </dsp:txBody>
      <dsp:txXfrm>
        <a:off x="7460712" y="1377064"/>
        <a:ext cx="566433" cy="3102387"/>
      </dsp:txXfrm>
    </dsp:sp>
    <dsp:sp modelId="{719C6CEB-1A8C-4388-A5AA-9DDED7A858E4}">
      <dsp:nvSpPr>
        <dsp:cNvPr id="0" name=""/>
        <dsp:cNvSpPr/>
      </dsp:nvSpPr>
      <dsp:spPr>
        <a:xfrm>
          <a:off x="8027146" y="1377064"/>
          <a:ext cx="584629" cy="3102387"/>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P2011                                                                           Javne potrebe u sportu</a:t>
          </a:r>
        </a:p>
      </dsp:txBody>
      <dsp:txXfrm>
        <a:off x="8027146" y="1377064"/>
        <a:ext cx="584629" cy="3102387"/>
      </dsp:txXfrm>
    </dsp:sp>
    <dsp:sp modelId="{3BA4FD3E-F656-43B4-8ADE-826656B52104}">
      <dsp:nvSpPr>
        <dsp:cNvPr id="0" name=""/>
        <dsp:cNvSpPr/>
      </dsp:nvSpPr>
      <dsp:spPr>
        <a:xfrm>
          <a:off x="8611775" y="1377064"/>
          <a:ext cx="566993" cy="310238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vert270" wrap="square" lIns="45720" tIns="45720" rIns="45720" bIns="45720" numCol="1" spcCol="1270" anchor="ctr" anchorCtr="0">
          <a:noAutofit/>
        </a:bodyPr>
        <a:lstStyle/>
        <a:p>
          <a:pPr lvl="0" algn="ctr" defTabSz="533400">
            <a:lnSpc>
              <a:spcPct val="90000"/>
            </a:lnSpc>
            <a:spcBef>
              <a:spcPct val="0"/>
            </a:spcBef>
            <a:spcAft>
              <a:spcPct val="35000"/>
            </a:spcAft>
          </a:pPr>
          <a:r>
            <a:rPr lang="hr-HR" sz="1200" kern="1200"/>
            <a:t>P2016</a:t>
          </a:r>
        </a:p>
        <a:p>
          <a:pPr lvl="0" algn="ctr" defTabSz="533400">
            <a:lnSpc>
              <a:spcPct val="90000"/>
            </a:lnSpc>
            <a:spcBef>
              <a:spcPct val="0"/>
            </a:spcBef>
            <a:spcAft>
              <a:spcPct val="35000"/>
            </a:spcAft>
          </a:pPr>
          <a:r>
            <a:rPr lang="hr-HR" sz="1200" kern="1200"/>
            <a:t> Prostorno uređenje i unapređenje stanovanja</a:t>
          </a:r>
        </a:p>
      </dsp:txBody>
      <dsp:txXfrm>
        <a:off x="8611775" y="1377064"/>
        <a:ext cx="566993" cy="3102387"/>
      </dsp:txXfrm>
    </dsp:sp>
    <dsp:sp modelId="{2960E43C-BE01-4143-BFA3-5FC0687DB834}">
      <dsp:nvSpPr>
        <dsp:cNvPr id="0" name=""/>
        <dsp:cNvSpPr/>
      </dsp:nvSpPr>
      <dsp:spPr>
        <a:xfrm>
          <a:off x="0" y="4479452"/>
          <a:ext cx="9182100" cy="344709"/>
        </a:xfrm>
        <a:prstGeom prst="rect">
          <a:avLst/>
        </a:prstGeom>
        <a:solidFill>
          <a:schemeClr val="accent2">
            <a:shade val="9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6068-8B93-47C0-A425-CD049CCA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11770</Words>
  <Characters>67089</Characters>
  <Application>Microsoft Office Word</Application>
  <DocSecurity>0</DocSecurity>
  <Lines>559</Lines>
  <Paragraphs>157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Korisnik</cp:lastModifiedBy>
  <cp:revision>2</cp:revision>
  <cp:lastPrinted>2026-05-20T11:58:00Z</cp:lastPrinted>
  <dcterms:created xsi:type="dcterms:W3CDTF">2026-05-21T16:07:00Z</dcterms:created>
  <dcterms:modified xsi:type="dcterms:W3CDTF">2026-05-21T16:07:00Z</dcterms:modified>
</cp:coreProperties>
</file>